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D6FA9" w14:textId="77777777" w:rsidR="00C97567" w:rsidRDefault="00000000">
      <w:pPr>
        <w:spacing w:after="200" w:line="360" w:lineRule="auto"/>
        <w:jc w:val="center"/>
      </w:pPr>
      <w:r>
        <w:rPr>
          <w:b/>
          <w:bCs/>
          <w:sz w:val="28"/>
          <w:szCs w:val="28"/>
        </w:rPr>
        <w:t>Strengthening Community Empowerment through Lifelong Learning and Industry Collaboration in Vocational Education</w:t>
      </w:r>
    </w:p>
    <w:p w14:paraId="11C15B5F" w14:textId="3E2D4BAD" w:rsidR="00C97567" w:rsidRDefault="00A55321">
      <w:pPr>
        <w:spacing w:after="80" w:line="360" w:lineRule="auto"/>
        <w:jc w:val="center"/>
      </w:pPr>
      <w:r>
        <w:rPr>
          <w:vertAlign w:val="superscript"/>
        </w:rPr>
        <w:t>1</w:t>
      </w:r>
      <w:r w:rsidR="00000000">
        <w:t xml:space="preserve">*Reindrawati, D.Y., </w:t>
      </w:r>
      <w:r>
        <w:rPr>
          <w:vertAlign w:val="superscript"/>
        </w:rPr>
        <w:t>1</w:t>
      </w:r>
      <w:r w:rsidR="00000000">
        <w:t>Bascha, U.F.</w:t>
      </w:r>
    </w:p>
    <w:p w14:paraId="41DB0F19" w14:textId="6FACECD3" w:rsidR="00C97567" w:rsidRDefault="00A55321">
      <w:pPr>
        <w:spacing w:after="160" w:line="360" w:lineRule="auto"/>
        <w:jc w:val="center"/>
      </w:pPr>
      <w:r>
        <w:rPr>
          <w:vertAlign w:val="superscript"/>
        </w:rPr>
        <w:t>1</w:t>
      </w:r>
      <w:r w:rsidR="00000000">
        <w:t>Faculty of Vocational Studies, Universitas Airlangga, Surabaya, Indonesia</w:t>
      </w:r>
    </w:p>
    <w:p w14:paraId="0BDF05C8" w14:textId="77777777" w:rsidR="00C97567" w:rsidRDefault="00000000">
      <w:pPr>
        <w:spacing w:after="160" w:line="360" w:lineRule="auto"/>
        <w:jc w:val="center"/>
      </w:pPr>
      <w:r>
        <w:t>*Corresponding author: dian.reindrawati@vokasi.unair.ac.id</w:t>
      </w:r>
    </w:p>
    <w:p w14:paraId="05ED7904" w14:textId="77777777" w:rsidR="00C97567" w:rsidRDefault="00C97567">
      <w:pPr>
        <w:pBdr>
          <w:bottom w:val="single" w:sz="4" w:space="1" w:color="000000"/>
        </w:pBdr>
        <w:spacing w:before="200" w:after="200"/>
      </w:pPr>
    </w:p>
    <w:p w14:paraId="02483A24" w14:textId="77777777" w:rsidR="00C97567" w:rsidRDefault="00000000">
      <w:pPr>
        <w:spacing w:before="240" w:after="120" w:line="360" w:lineRule="auto"/>
      </w:pPr>
      <w:r>
        <w:rPr>
          <w:b/>
          <w:bCs/>
        </w:rPr>
        <w:t>ABSTRACT</w:t>
      </w:r>
    </w:p>
    <w:p w14:paraId="0323156E" w14:textId="77777777" w:rsidR="00F11533" w:rsidRDefault="00F11533">
      <w:pPr>
        <w:spacing w:after="200" w:line="360" w:lineRule="auto"/>
        <w:jc w:val="both"/>
      </w:pPr>
      <w:r w:rsidRPr="00F11533">
        <w:t>The growing demand for lifelong learning in the twenty-first century requires vocational education to move beyond conventional classroom boundaries and engage actively with industry and community ecosystems. Sustainable Development Goal (SDG) 4 calls for inclusive and equitable quality education and the promotion of lifelong learning opportunities for all. This paper examines how the synergy between Teaching Factory (TeFa) and Project-Based Learning (PBL) in vocational higher education directly advances SDG 4 by embedding lifelong learning principles within community-engaged, industry-collaborative practice. Drawing on a qualitative case study at Kampung Wisata Lawas Maspati, Surabaya, this research investigates how integrating real-world industry collaboration with community development principles and active learning frameworks simultaneously enhances graduate competencies and promotes local socioeconomic progress. The findings demonstrate that TeFa-PBL synergy, when embedded within a community-based setting, creates a dual-impact learning environment: students develop holistic competencies encompassing hard skills, soft skills, character formation, and professional work attitudes, while the host community benefits from improved tourism management, digital marketing capabilities, and sustainable livelihood development. The model positions students as active agents of community change, contributing to local small and medium enterprise (UMKM) development, cultural preservation, and hospitality services across multi-disciplinary vocational programs. The study further underscores that sustaining this model requires multi-stakeholder collaboration (pentahelix) involving higher education institutions, industry, government, community organisations, and the media. Contextualised within the Asian lifelong learning agenda, this paper argues that vocational institutions possess a unique capacity to bridge the gap between formal learning and lifelong community engagement. By aligning TeFa-PBL with the Sustainable Development Goal 4 framework on inclusive and lifelong learning, the model offers a replicable, context-</w:t>
      </w:r>
      <w:r w:rsidRPr="00F11533">
        <w:lastRenderedPageBreak/>
        <w:t>sensitive approach for vocational education systems across Asia seeking to deepen industry-community-education partnerships. Policy implications for curriculum reform and regional workforce development are discussed.</w:t>
      </w:r>
    </w:p>
    <w:p w14:paraId="66B3DDED" w14:textId="29678341" w:rsidR="00C97567" w:rsidRDefault="00000000">
      <w:pPr>
        <w:spacing w:after="200" w:line="360" w:lineRule="auto"/>
        <w:jc w:val="both"/>
      </w:pPr>
      <w:r>
        <w:rPr>
          <w:b/>
          <w:bCs/>
        </w:rPr>
        <w:t xml:space="preserve">Keywords: </w:t>
      </w:r>
      <w:r>
        <w:t>SDG 4 (Quality Education); community empowerment; Teaching Factory (TeFa); vocational education; industry collaboration</w:t>
      </w:r>
      <w:r w:rsidR="00F11533">
        <w:t>.</w:t>
      </w:r>
    </w:p>
    <w:p w14:paraId="1D55AB96" w14:textId="77777777" w:rsidR="00C97567" w:rsidRDefault="00C97567">
      <w:pPr>
        <w:pBdr>
          <w:bottom w:val="single" w:sz="4" w:space="1" w:color="000000"/>
        </w:pBdr>
        <w:spacing w:before="200" w:after="200"/>
      </w:pPr>
    </w:p>
    <w:p w14:paraId="7AA44ED6" w14:textId="77777777" w:rsidR="00C97567" w:rsidRDefault="00000000">
      <w:pPr>
        <w:spacing w:before="240" w:after="120" w:line="360" w:lineRule="auto"/>
      </w:pPr>
      <w:r>
        <w:rPr>
          <w:b/>
          <w:bCs/>
        </w:rPr>
        <w:t>1. INTRODUCTION</w:t>
      </w:r>
    </w:p>
    <w:p w14:paraId="0C717489" w14:textId="77777777" w:rsidR="00C97567" w:rsidRDefault="00000000">
      <w:pPr>
        <w:spacing w:after="160" w:line="360" w:lineRule="auto"/>
        <w:jc w:val="both"/>
      </w:pPr>
      <w:r>
        <w:t>The twenty-first century has ushered in unprecedented demands on educational systems to produce graduates who are not merely technically proficient but capable of adapting continuously to shifting workplace demands and contributing meaningfully to their communities. Within this context, lifelong learning has emerged as a cornerstone principle of global educational policy, most prominently crystallised in the United Nations Sustainable Development Goal (SDG) 4, which calls for inclusive, equitable, and quality education, and the promotion of lifelong learning opportunities for all (United Nations, 2015; UNESCO, 2022). Despite significant progress in access to formal education globally, the world remains off-track to achieve SDG 4 targets by 2030, with persistent gaps in learning quality and relevance, particularly in developing economies across Asia and the Global South (UN DESA, 2024).</w:t>
      </w:r>
    </w:p>
    <w:p w14:paraId="77906AEE" w14:textId="77777777" w:rsidR="00C97567" w:rsidRDefault="00000000">
      <w:pPr>
        <w:spacing w:after="160" w:line="360" w:lineRule="auto"/>
        <w:jc w:val="both"/>
      </w:pPr>
      <w:r>
        <w:t>Vocational higher education institutions occupy a strategically important position in addressing these deficits. Unlike conventional academic programmes, vocational education has an inherent orientation towards practical competency development and labour market responsiveness (UNESCO-UNEVOC, 2022; Wahyudin et al., 2025). However, the challenge lies in translating this orientation into pedagogical models that simultaneously serve multiple objectives: developing industry-ready graduates, enabling sustained community uplift, and embedding the habits of lifelong learning into both students and the communities in which they are embedded.</w:t>
      </w:r>
    </w:p>
    <w:p w14:paraId="7A633161" w14:textId="74E2CC75" w:rsidR="00C97567" w:rsidRDefault="00000000">
      <w:pPr>
        <w:spacing w:after="160" w:line="360" w:lineRule="auto"/>
        <w:jc w:val="both"/>
      </w:pPr>
      <w:r>
        <w:t>The Teaching Factory (TeFa) model represents a transformative response to this challenge. By creating productive, industry-standard environments within educational institutions, TeFa enables students to work on real-world projects under professional conditions, thereby bridging the long-standing gap between formal schooling and authentic workplace experience (Wahyudin et al., 2025; Liu et al., 2025). When combined with Project-Based Learning (PBL)</w:t>
      </w:r>
      <w:r w:rsidR="00F11533">
        <w:t xml:space="preserve">, </w:t>
      </w:r>
      <w:r>
        <w:lastRenderedPageBreak/>
        <w:t>a well-documented student-centred pedagogy that builds critical thinking, collaboration, and real-world problem-solving capacities (Guo et al., 2020; Kokotsaki et al., 2016)</w:t>
      </w:r>
      <w:r w:rsidR="00F11533">
        <w:t xml:space="preserve">, </w:t>
      </w:r>
      <w:r>
        <w:t>the resultant TeFa-PBL synergy creates a powerful dual-purpose learning environment with measurable benefits for both students and communities.</w:t>
      </w:r>
    </w:p>
    <w:p w14:paraId="4A6A5F6F" w14:textId="77777777" w:rsidR="00C97567" w:rsidRDefault="00000000">
      <w:pPr>
        <w:spacing w:after="160" w:line="360" w:lineRule="auto"/>
        <w:jc w:val="both"/>
      </w:pPr>
      <w:r>
        <w:t>This paper reports on a qualitative case study conducted at Kampung Wisata Lawas Maspati, a heritage tourism village in Surabaya, East Java, Indonesia. The study examines how the Faculty of Vocational Studies at Universitas Airlangga has operationalised TeFa-PBL as an instrument for community empowerment and lifelong learning, and how this approach aligns with and advances SDG 4. The paper contributes to an emerging body of literature on education-community-industry collaboration models in Southeast Asian vocational education, and offers empirically grounded insights for policymakers and educators seeking to deepen lifelong learning ecosystems across the region.</w:t>
      </w:r>
    </w:p>
    <w:p w14:paraId="6DDBEF47" w14:textId="77777777" w:rsidR="00C97567" w:rsidRDefault="00000000">
      <w:pPr>
        <w:spacing w:before="240" w:after="120" w:line="360" w:lineRule="auto"/>
      </w:pPr>
      <w:r>
        <w:rPr>
          <w:b/>
          <w:bCs/>
        </w:rPr>
        <w:t>2. THEORETICAL FRAMEWORK</w:t>
      </w:r>
    </w:p>
    <w:p w14:paraId="29775B59" w14:textId="77777777" w:rsidR="00C97567" w:rsidRDefault="00000000">
      <w:pPr>
        <w:spacing w:before="160" w:after="100" w:line="360" w:lineRule="auto"/>
      </w:pPr>
      <w:r>
        <w:rPr>
          <w:b/>
          <w:bCs/>
          <w:i/>
          <w:iCs/>
        </w:rPr>
        <w:t>2.1 Lifelong Learning, SDG 4, and Vocational Education</w:t>
      </w:r>
    </w:p>
    <w:p w14:paraId="62F8362E" w14:textId="77777777" w:rsidR="00C97567" w:rsidRDefault="00000000">
      <w:pPr>
        <w:spacing w:after="160" w:line="360" w:lineRule="auto"/>
        <w:jc w:val="both"/>
      </w:pPr>
      <w:r>
        <w:t>Lifelong learning is fundamentally concerned with the continuous acquisition of knowledge, skills, and competencies throughout an individual's life, transcending formal educational boundaries to include informal and non-formal learning (Said &amp; Abdallah, 2024). UNESCO's Education 2030 Framework positions lifelong learning as essential to sustainable development, arguing that the knowledge, skills, and values needed to address complex socio-environmental challenges can only be cultivated through sustained, contextualised learning (Ferguson &amp; Roofe, 2020; Vindigni, 2024). SDG 4 itself encompasses seven targets and three means of implementation, with explicit emphasis on technical and vocational education, skills for work, and education for sustainable development (United Nations, 2015; UN DESA, 2024).</w:t>
      </w:r>
    </w:p>
    <w:p w14:paraId="67435C2C" w14:textId="77777777" w:rsidR="00C97567" w:rsidRDefault="00000000">
      <w:pPr>
        <w:spacing w:after="160" w:line="360" w:lineRule="auto"/>
        <w:jc w:val="both"/>
      </w:pPr>
      <w:r>
        <w:t>The significance of vocational education within the SDG 4 agenda has been reaffirmed in successive UNESCO-UNEVOC reports and by the 2022 UNESCO Strategy for TVET, which emphasises the importance of strengthening industry-education linkages, community engagement, and flexible learning pathways (UNESCO-UNEVOC, 2022; Hamburg, 2020). In the Asian context, lifelong learning policies have increasingly recognised vocational institutions as key nodes in regional learning ecosystems, with countries such as Singapore, South Korea, and China investing in Teaching Factory-type models to simultaneously enhance industry responsiveness and community development outcomes (Liu et al., 2025).</w:t>
      </w:r>
    </w:p>
    <w:p w14:paraId="1E33FF8B" w14:textId="77777777" w:rsidR="00C97567" w:rsidRDefault="00000000">
      <w:pPr>
        <w:spacing w:before="160" w:after="100" w:line="360" w:lineRule="auto"/>
      </w:pPr>
      <w:r>
        <w:rPr>
          <w:b/>
          <w:bCs/>
          <w:i/>
          <w:iCs/>
        </w:rPr>
        <w:lastRenderedPageBreak/>
        <w:t>2.2 Teaching Factory (TeFa)</w:t>
      </w:r>
    </w:p>
    <w:p w14:paraId="4BDF3F21" w14:textId="77777777" w:rsidR="00C97567" w:rsidRDefault="00000000">
      <w:pPr>
        <w:spacing w:after="160" w:line="360" w:lineRule="auto"/>
        <w:jc w:val="both"/>
      </w:pPr>
      <w:r>
        <w:t>The Teaching Factory model creates authentic, production-oriented learning environments within educational institutions. Unlike conventional workshop settings, TeFa embeds students in real production processes where outputs are genuine products or services delivered to real clients or communities (Wahyudin et al., 2025). This model has been shown to significantly enhance practical skills, increase industry engagement, and improve graduate employability across diverse national contexts. The Singapore Teaching Factory Model (TFM), widely regarded as a reference model for Asian TVET systems, exemplifies the integration of teaching and production functions within a single institutional environment (Liu et al., 2025).</w:t>
      </w:r>
    </w:p>
    <w:p w14:paraId="4E85A157" w14:textId="0EC5A71A" w:rsidR="00C97567" w:rsidRDefault="00000000">
      <w:pPr>
        <w:spacing w:after="160" w:line="360" w:lineRule="auto"/>
        <w:jc w:val="both"/>
      </w:pPr>
      <w:r>
        <w:t>In Indonesia, TeFa has been formally integrated into the vocational education policy framework as a mechanism for strengthening school-industry-community links, at both secondary (SMK) and higher vocational levels. However, the application of TeFa within community-engaged settings</w:t>
      </w:r>
      <w:r w:rsidR="009D43E3">
        <w:t xml:space="preserve">, </w:t>
      </w:r>
      <w:r>
        <w:t>where the community itself serves as a living learning laboratory and primary beneficiary</w:t>
      </w:r>
      <w:r w:rsidR="009D43E3">
        <w:t xml:space="preserve"> </w:t>
      </w:r>
      <w:r>
        <w:t>remains underexplored and represents an important innovation in the literature (Fattah et al., 2022; Iliani et al., 2022).</w:t>
      </w:r>
    </w:p>
    <w:p w14:paraId="778B63F7" w14:textId="77777777" w:rsidR="00C97567" w:rsidRDefault="00000000">
      <w:pPr>
        <w:spacing w:before="160" w:after="100" w:line="360" w:lineRule="auto"/>
      </w:pPr>
      <w:r>
        <w:rPr>
          <w:b/>
          <w:bCs/>
          <w:i/>
          <w:iCs/>
        </w:rPr>
        <w:t>2.3 Project-Based Learning (PBL)</w:t>
      </w:r>
    </w:p>
    <w:p w14:paraId="3986E102" w14:textId="77777777" w:rsidR="00C97567" w:rsidRDefault="00000000">
      <w:pPr>
        <w:spacing w:after="160" w:line="360" w:lineRule="auto"/>
        <w:jc w:val="both"/>
      </w:pPr>
      <w:r>
        <w:t>Project-Based Learning is a student-centred instructional methodology in which learners engage in sustained inquiry to address authentic, real-world challenges, producing tangible outcomes for real audiences (Thomas, 2000; PBLWorks, 2024). PBL has been consistently associated with improvements in 21st-century skills including critical thinking, collaboration, communication, and creativity—the 4C competencies (Guo et al., 2020; Fitri et al., 2024; Dogara et al., 2020). In vocational education specifically, PBL improves practical competencies, problem-solving abilities, and industry readiness (Almulla, 2020; Megayanti et al., 2020).</w:t>
      </w:r>
    </w:p>
    <w:p w14:paraId="0672E152" w14:textId="77777777" w:rsidR="00C97567" w:rsidRDefault="00000000">
      <w:pPr>
        <w:spacing w:after="160" w:line="360" w:lineRule="auto"/>
        <w:jc w:val="both"/>
      </w:pPr>
      <w:r>
        <w:t>A systematic literature review of PBL in vocational engineering education confirmed that PBL is crucial in preparing students for technology-driven workplaces, enhancing innovation skills, information literacy, and life and career competencies (Fitra et al., 2024). Research further confirms that PBL frameworks incorporating direct industry collaboration foster more robust anticipatory professional competencies than conventional instruction, as industry contact points provide students access to organisational contexts and career pathway insights unavailable in the classroom (Ibrahim et al., 2025).</w:t>
      </w:r>
    </w:p>
    <w:p w14:paraId="003AC73B" w14:textId="77777777" w:rsidR="00C97567" w:rsidRDefault="00000000">
      <w:pPr>
        <w:spacing w:before="160" w:after="100" w:line="360" w:lineRule="auto"/>
      </w:pPr>
      <w:r>
        <w:rPr>
          <w:b/>
          <w:bCs/>
          <w:i/>
          <w:iCs/>
        </w:rPr>
        <w:t>2.4 Pentahelix Collaboration Model</w:t>
      </w:r>
    </w:p>
    <w:p w14:paraId="69F9DE00" w14:textId="77777777" w:rsidR="00C97567" w:rsidRDefault="00000000">
      <w:pPr>
        <w:spacing w:after="160" w:line="360" w:lineRule="auto"/>
        <w:jc w:val="both"/>
      </w:pPr>
      <w:r>
        <w:lastRenderedPageBreak/>
        <w:t>The pentahelix model extends the triple-helix framework of university-government-industry collaboration to include community organisations and media as active partners in development processes. In the context of vocational community engagement, pentahelix collaboration has been identified as a critical enabler of sustainable programme outcomes, ensuring that educational initiatives are socially embedded, institutionally supported, and effectively communicated (Furkan et al., 2025). The inclusion of media actors is particularly salient in the digital age, where UMKM development increasingly depends on digital marketing platforms and social media visibility for market access and community economic resilience (Saputra et al., 2024; Rahayu et al., 2024; Setyobudi, 2025).</w:t>
      </w:r>
    </w:p>
    <w:p w14:paraId="31C68F5A" w14:textId="77777777" w:rsidR="00C97567" w:rsidRDefault="00000000">
      <w:pPr>
        <w:spacing w:before="240" w:after="120" w:line="360" w:lineRule="auto"/>
      </w:pPr>
      <w:r>
        <w:rPr>
          <w:b/>
          <w:bCs/>
        </w:rPr>
        <w:t>3. METHODOLOGY</w:t>
      </w:r>
    </w:p>
    <w:p w14:paraId="29764065" w14:textId="77777777" w:rsidR="00C97567" w:rsidRDefault="00000000">
      <w:pPr>
        <w:spacing w:after="160" w:line="360" w:lineRule="auto"/>
        <w:jc w:val="both"/>
      </w:pPr>
      <w:r>
        <w:t>This study employs a qualitative case study design, consistent with the interpretive research tradition's emphasis on understanding complex social phenomena within their natural contexts (Yin, 2018). Kampung Wisata Lawas Maspati, a heritage tourism destination embedded in Surabaya's urban fabric, was selected as the research site due to its sustained collaboration with the Faculty of Vocational Studies at Universitas Airlangga and its status as an active locus of community-based UMKM and cultural tourism development.</w:t>
      </w:r>
    </w:p>
    <w:p w14:paraId="38912E38" w14:textId="77777777" w:rsidR="00C97567" w:rsidRDefault="00000000">
      <w:pPr>
        <w:spacing w:after="160" w:line="360" w:lineRule="auto"/>
        <w:jc w:val="both"/>
      </w:pPr>
      <w:r>
        <w:t>Data were collected through multiple methods: in-depth semi-structured interviews with key informants (faculty coordinators, industry partners, community leaders, and participating students); participant observation of TeFa-PBL programme activities across multiple academic cycles; and systematic document analysis of programme curricula, project outputs, and community feedback records. Thematic analysis was employed as the primary analytical strategy, using iterative inductive and deductive coding informed by the study's conceptual framework. Triangulation was achieved through cross-referencing across data sources, and findings were validated through member-checking with key participants. Ethical protocols included informed consent, anonymisation of individual responses, and reciprocal knowledge-sharing with the host community.</w:t>
      </w:r>
    </w:p>
    <w:p w14:paraId="34A6F7C8" w14:textId="77777777" w:rsidR="00C97567" w:rsidRDefault="00000000">
      <w:pPr>
        <w:spacing w:before="240" w:after="120" w:line="360" w:lineRule="auto"/>
      </w:pPr>
      <w:r>
        <w:rPr>
          <w:b/>
          <w:bCs/>
        </w:rPr>
        <w:t>4. FINDINGS</w:t>
      </w:r>
    </w:p>
    <w:p w14:paraId="047C7A8B" w14:textId="77777777" w:rsidR="00C97567" w:rsidRDefault="00000000">
      <w:pPr>
        <w:spacing w:before="160" w:after="100" w:line="360" w:lineRule="auto"/>
      </w:pPr>
      <w:r>
        <w:rPr>
          <w:b/>
          <w:bCs/>
          <w:i/>
          <w:iCs/>
        </w:rPr>
        <w:t>4.1 The TeFa-PBL Community Model in Practice</w:t>
      </w:r>
    </w:p>
    <w:p w14:paraId="3675D387" w14:textId="77777777" w:rsidR="00C97567" w:rsidRDefault="00000000">
      <w:pPr>
        <w:spacing w:after="160" w:line="360" w:lineRule="auto"/>
        <w:jc w:val="both"/>
      </w:pPr>
      <w:r>
        <w:t xml:space="preserve">Kampung Wisata Lawas Maspati operates as a living heritage tourism village, with UMKM activities centred on traditional culinary products, handcrafted goods, hospitality services, and guided cultural tours. The TeFa-PBL model developed at Universitas Airlangga positions this </w:t>
      </w:r>
      <w:r>
        <w:lastRenderedPageBreak/>
        <w:t>community as an authentic learning laboratory across multiple vocational programmes, including Hospitality Management, Digital Business, Tourism, and Applied Communication.</w:t>
      </w:r>
    </w:p>
    <w:p w14:paraId="6140C240" w14:textId="7EDEEA85" w:rsidR="00C97567" w:rsidRDefault="00000000">
      <w:pPr>
        <w:spacing w:after="160" w:line="360" w:lineRule="auto"/>
        <w:jc w:val="both"/>
      </w:pPr>
      <w:r>
        <w:t>Students participate in structured project cycles aligned with community development priorities identified through participatory needs assessment. In each cycle, student teams</w:t>
      </w:r>
      <w:r w:rsidR="00F11533">
        <w:t xml:space="preserve"> </w:t>
      </w:r>
      <w:r>
        <w:t>guided by industry mentors and academic supervisors</w:t>
      </w:r>
      <w:r w:rsidR="00F11533">
        <w:t xml:space="preserve">, </w:t>
      </w:r>
      <w:r>
        <w:t>design, produce, and deliver specific outputs of direct community benefit. Examples from the study period include: development of digital marketing content for UMKM social media platforms; redesign of visitor experience management protocols; creation of packaging and branding materials for local food products; development of hospitality training modules for community workers; and production of heritage documentation materials including oral histories, architectural surveys, and culinary heritage records. Each project cycle incorporates structured assessment of both technical vocational competencies and transferable 21st-century skills.</w:t>
      </w:r>
    </w:p>
    <w:p w14:paraId="0C68F3C9" w14:textId="77777777" w:rsidR="00C97567" w:rsidRDefault="00000000">
      <w:pPr>
        <w:spacing w:before="160" w:after="100" w:line="360" w:lineRule="auto"/>
      </w:pPr>
      <w:r>
        <w:rPr>
          <w:b/>
          <w:bCs/>
          <w:i/>
          <w:iCs/>
        </w:rPr>
        <w:t>4.2 Dual-Impact Learning Outcomes</w:t>
      </w:r>
    </w:p>
    <w:p w14:paraId="315D1407" w14:textId="0A88B8C9" w:rsidR="00C97567" w:rsidRDefault="00000000">
      <w:pPr>
        <w:spacing w:after="160" w:line="360" w:lineRule="auto"/>
        <w:jc w:val="both"/>
      </w:pPr>
      <w:r>
        <w:t>The findings reveal a consistent dual-impact pattern of outcomes that distinguishes the TeFa-PBL community model from conventional vocational instruction. For students, the model produces measurable improvements across four competency domains: (1) hard skills</w:t>
      </w:r>
      <w:r w:rsidR="00F11533">
        <w:t xml:space="preserve">, </w:t>
      </w:r>
      <w:r>
        <w:t>including digital marketing proficiency, hospitality operations, culinary production, and visual communication design; (2) soft skills—particularly teamwork, client relationship management, intercultural communication, and time management; (3) character formation</w:t>
      </w:r>
      <w:r w:rsidR="00F11533">
        <w:t xml:space="preserve">, </w:t>
      </w:r>
      <w:r>
        <w:t>including civic responsibility, empathy, cultural sensitivity, and professional ethics; and (4) professional work attitudes</w:t>
      </w:r>
      <w:r w:rsidR="00F11533">
        <w:t xml:space="preserve">, </w:t>
      </w:r>
      <w:r>
        <w:t>including adaptability, initiative, industry-standard conduct, and continuous improvement orientation.</w:t>
      </w:r>
    </w:p>
    <w:p w14:paraId="5AD6183F" w14:textId="77777777" w:rsidR="00C97567" w:rsidRDefault="00000000">
      <w:pPr>
        <w:spacing w:after="160" w:line="360" w:lineRule="auto"/>
        <w:jc w:val="both"/>
      </w:pPr>
      <w:r>
        <w:t>For the community, programme outputs have generated tangible improvements in tourism management infrastructure and UMKM market access. UMKM partners reported increased online visibility and customer inquiries following student-led digital marketing campaigns, consistent with findings from comparable community digital marketing empowerment programmes in Indonesia (Rahayu et al., 2024; Saputra et al., 2024). Community hospitality workers and tour guides benefited from training sessions co-facilitated by students, resulting in improved service quality and enhanced visitor satisfaction. Cultural preservation was advanced through systematic documentation of heritage assets conducted by students as part of their project assignments.</w:t>
      </w:r>
    </w:p>
    <w:p w14:paraId="626D2292" w14:textId="77777777" w:rsidR="00C97567" w:rsidRDefault="00000000">
      <w:pPr>
        <w:spacing w:before="160" w:after="100" w:line="360" w:lineRule="auto"/>
      </w:pPr>
      <w:r>
        <w:rPr>
          <w:b/>
          <w:bCs/>
          <w:i/>
          <w:iCs/>
        </w:rPr>
        <w:t>4.3 Students as Active Agents of Community Change</w:t>
      </w:r>
    </w:p>
    <w:p w14:paraId="0FD41448" w14:textId="0D646C61" w:rsidR="00C97567" w:rsidRDefault="00000000">
      <w:pPr>
        <w:spacing w:after="160" w:line="360" w:lineRule="auto"/>
        <w:jc w:val="both"/>
      </w:pPr>
      <w:r>
        <w:lastRenderedPageBreak/>
        <w:t>A particularly significant finding is the emergence of what may be termed civic vocational identity among programme participants</w:t>
      </w:r>
      <w:r w:rsidR="00F11533">
        <w:t xml:space="preserve">, </w:t>
      </w:r>
      <w:r>
        <w:t>an integration of professional technical competency with a sense of community belonging and social responsibility. Students described the Maspati programme experience as formative in shaping their understanding of the social purposes of vocational expertise. This aligns with broader educational research calling for pedagogical approaches capable of cultivating student agency in addressing societal challenges (Ferguson &amp; Roofe, 2020; Vindigni, 2024), and with the lifelong learning literature's emphasis on developing citizens who are capable of ongoing contribution rather than merely skilled workers.</w:t>
      </w:r>
    </w:p>
    <w:p w14:paraId="561ACE72" w14:textId="77777777" w:rsidR="00C97567" w:rsidRDefault="00000000">
      <w:pPr>
        <w:spacing w:before="240" w:after="120" w:line="360" w:lineRule="auto"/>
      </w:pPr>
      <w:r>
        <w:rPr>
          <w:b/>
          <w:bCs/>
        </w:rPr>
        <w:t>5. DISCUSSION</w:t>
      </w:r>
    </w:p>
    <w:p w14:paraId="5D6EBF68" w14:textId="77777777" w:rsidR="00C97567" w:rsidRDefault="00000000">
      <w:pPr>
        <w:spacing w:after="160" w:line="360" w:lineRule="auto"/>
        <w:jc w:val="both"/>
      </w:pPr>
      <w:r>
        <w:t>The Maspati TeFa-PBL model offers a compelling evidence-based case for the integration of vocational education, community empowerment, and lifelong learning within a single coherent pedagogical framework. Its alignment with SDG 4 operates at multiple levels: it promotes quality education by embedding students in authentic, industry-standard learning environments; it advances educational equity by directing institutional resources toward historically underserved urban communities; and it builds infrastructure for lifelong community learning by creating sustainable relationships among educational institutions, industries, local governments, community organisations, and media actors.</w:t>
      </w:r>
    </w:p>
    <w:p w14:paraId="7CB1EA5F" w14:textId="77777777" w:rsidR="00C97567" w:rsidRDefault="00000000">
      <w:pPr>
        <w:spacing w:after="160" w:line="360" w:lineRule="auto"/>
        <w:jc w:val="both"/>
      </w:pPr>
      <w:r>
        <w:t>The pentahelix governance structure that sustains the model is particularly instructive. The involvement of five stakeholder categories ensures that programme activities are aligned with multiple institutional logics and accountability structures simultaneously. Government support provides regulatory legitimacy and community development funding access. Industry partners contribute professional expertise and mentorship. Community organisations offer contextual knowledge and facilitate beneficiary access. Media partners amplify programme outcomes and build UMKM digital communication capacity. The university provides pedagogical leadership, quality assurance, and research expertise. This multi-stakeholder architecture is consistent with emerging literature on sustainable vocational community engagement models, which identifies pentahelix coordination as a key predictor of programme longevity and impact (Furkan et al., 2025).</w:t>
      </w:r>
    </w:p>
    <w:p w14:paraId="50792670" w14:textId="65234B13" w:rsidR="00C97567" w:rsidRDefault="00000000">
      <w:pPr>
        <w:spacing w:after="160" w:line="360" w:lineRule="auto"/>
        <w:jc w:val="both"/>
      </w:pPr>
      <w:r>
        <w:t>Comparison with analogous models in Asia</w:t>
      </w:r>
      <w:r w:rsidR="00F11533">
        <w:t xml:space="preserve">, </w:t>
      </w:r>
      <w:r>
        <w:t>including Singapore's Teaching Factory Model, PBL community engagement programmes in Thailand and China, and Malaysian TVET community service initiatives</w:t>
      </w:r>
      <w:r w:rsidR="00F11533">
        <w:t xml:space="preserve">, </w:t>
      </w:r>
      <w:r>
        <w:t xml:space="preserve">suggests that the Maspati model is distinctive in its simultaneous </w:t>
      </w:r>
      <w:r>
        <w:lastRenderedPageBreak/>
        <w:t>pursuit of industry-standard vocational training and structured community development outcomes. Most TeFa implementations prioritise industry alignment over community engagement; most community service-learning programmes lack the production-authentic environment that TeFa provides. The TeFa-PBL community model thus represents a genuine pedagogical innovation with strong replication potential across Asian vocational education systems facing similar challenges of graduate employability, community development, and SDG 4 alignment.</w:t>
      </w:r>
    </w:p>
    <w:p w14:paraId="52C46E21" w14:textId="77777777" w:rsidR="00C97567" w:rsidRDefault="00000000">
      <w:pPr>
        <w:spacing w:after="160" w:line="360" w:lineRule="auto"/>
        <w:jc w:val="both"/>
      </w:pPr>
      <w:r>
        <w:t>Challenges identified include resource constraints associated with industry-standard equipment in community settings, the complexity of multi-stakeholder coordination, and the need for sustained faculty capacity development to support community-engaged TeFa-PBL delivery. Curriculum alignment also requires ongoing attention to ensure community projects remain connected to nationally recognised vocational competency standards. These challenges are broadly consistent with the TeFa and PBL implementation literature (Wahyudin et al., 2025; Fitra et al., 2024), and do not undermine the model's strategic value but do highlight the importance of robust institutional support structures.</w:t>
      </w:r>
    </w:p>
    <w:p w14:paraId="54C1C0DA" w14:textId="77777777" w:rsidR="00C97567" w:rsidRDefault="00000000">
      <w:pPr>
        <w:spacing w:before="240" w:after="120" w:line="360" w:lineRule="auto"/>
      </w:pPr>
      <w:r>
        <w:rPr>
          <w:b/>
          <w:bCs/>
        </w:rPr>
        <w:t>6. CONCLUSION AND POLICY IMPLICATIONS</w:t>
      </w:r>
    </w:p>
    <w:p w14:paraId="2810555F" w14:textId="77777777" w:rsidR="00C97567" w:rsidRDefault="00000000">
      <w:pPr>
        <w:spacing w:after="160" w:line="360" w:lineRule="auto"/>
        <w:jc w:val="both"/>
      </w:pPr>
      <w:r>
        <w:t>This paper has demonstrated that Teaching Factory and Project-Based Learning, when deployed synergistically within a community-engaged setting, create a dual-impact learning environment capable of simultaneously advancing graduate competency development and community socioeconomic progress. The Kampung Wisata Lawas Maspati case provides empirical grounding for this model and illustrates its practical viability within the Indonesian vocational higher education context.</w:t>
      </w:r>
    </w:p>
    <w:p w14:paraId="15A7DFC0" w14:textId="76FC953A" w:rsidR="00C97567" w:rsidRDefault="00000000">
      <w:pPr>
        <w:spacing w:after="160" w:line="360" w:lineRule="auto"/>
        <w:jc w:val="both"/>
      </w:pPr>
      <w:r>
        <w:t>Several policy implications emerge for curriculum reform and regional workforce development. First, vocational higher education curricula should formally institutionalise community-engaged TeFa-PBL as a core degree programme component, with explicit alignment to SDG 4 targets and national lifelong learning policy frameworks. Second, governments should invest in enabling infrastructures</w:t>
      </w:r>
      <w:r w:rsidR="00F11533">
        <w:t xml:space="preserve">, </w:t>
      </w:r>
      <w:r>
        <w:t>community learning facilities, digital access for UMKM, and multi-stakeholder coordination platforms</w:t>
      </w:r>
      <w:r w:rsidR="00F11533">
        <w:t xml:space="preserve">, </w:t>
      </w:r>
      <w:r>
        <w:t xml:space="preserve">that can sustain pentahelix partnerships over time. Third, quality assurance bodies should develop specific evaluation frameworks for community-engaged vocational learning that capture dual-impact outcomes for both students and host communities. Finally, longitudinal research is needed to assess the scalability, sustainability, and wider transferability of models such as Maspati, particularly with </w:t>
      </w:r>
      <w:r>
        <w:lastRenderedPageBreak/>
        <w:t>respect to maintaining both academic quality and community benefit as programmes scale across diverse regional and institutional contexts.</w:t>
      </w:r>
    </w:p>
    <w:p w14:paraId="643F921A" w14:textId="77777777" w:rsidR="00C97567" w:rsidRDefault="00C97567">
      <w:pPr>
        <w:pBdr>
          <w:bottom w:val="single" w:sz="4" w:space="1" w:color="000000"/>
        </w:pBdr>
        <w:spacing w:before="200" w:after="200"/>
      </w:pPr>
    </w:p>
    <w:p w14:paraId="75D4E8FA" w14:textId="77777777" w:rsidR="00C97567" w:rsidRDefault="00000000">
      <w:pPr>
        <w:spacing w:before="240" w:after="120" w:line="360" w:lineRule="auto"/>
      </w:pPr>
      <w:r>
        <w:rPr>
          <w:b/>
          <w:bCs/>
        </w:rPr>
        <w:t>REFERENCES</w:t>
      </w:r>
    </w:p>
    <w:p w14:paraId="03FAB07E" w14:textId="77777777" w:rsidR="00C97567" w:rsidRDefault="00000000">
      <w:pPr>
        <w:spacing w:after="80" w:line="264" w:lineRule="auto"/>
        <w:ind w:left="720" w:hanging="720"/>
        <w:jc w:val="both"/>
      </w:pPr>
      <w:r>
        <w:rPr>
          <w:sz w:val="20"/>
          <w:szCs w:val="20"/>
        </w:rPr>
        <w:t>Almulla, M. A. (2020). The effectiveness of the Project-Based Learning (PBL) approach as a way to engage students in learning. SAGE Open, 10(3), 1–15. https://doi.org/10.1177/2158244020938702</w:t>
      </w:r>
    </w:p>
    <w:p w14:paraId="43517404" w14:textId="77777777" w:rsidR="00C97567" w:rsidRDefault="00000000">
      <w:pPr>
        <w:spacing w:after="80" w:line="264" w:lineRule="auto"/>
        <w:ind w:left="720" w:hanging="720"/>
        <w:jc w:val="both"/>
      </w:pPr>
      <w:r>
        <w:rPr>
          <w:sz w:val="20"/>
          <w:szCs w:val="20"/>
        </w:rPr>
        <w:t>Baroroh, K., Wahyono, H., Utomo, S., &amp; Lestari, F. (2021). Incorporating village tourism into 'community economy' course: A Project-Based Learning method in university. International Journal of Evaluation and Research in Education, 10(3), 979–987. https://eric.ed.gov/?id=EJ1319022</w:t>
      </w:r>
    </w:p>
    <w:p w14:paraId="26DC97AB" w14:textId="77777777" w:rsidR="00C97567" w:rsidRDefault="00000000">
      <w:pPr>
        <w:spacing w:after="80" w:line="264" w:lineRule="auto"/>
        <w:ind w:left="720" w:hanging="720"/>
        <w:jc w:val="both"/>
      </w:pPr>
      <w:r w:rsidRPr="00F11533">
        <w:rPr>
          <w:sz w:val="20"/>
          <w:szCs w:val="20"/>
          <w:lang w:val="sv-SE"/>
        </w:rPr>
        <w:t xml:space="preserve">Dogara, G., Saud, M. S. B., Kamin, Y. B., &amp; Nordin, M. S. B. (2020). </w:t>
      </w:r>
      <w:r>
        <w:rPr>
          <w:sz w:val="20"/>
          <w:szCs w:val="20"/>
        </w:rPr>
        <w:t>Project-based learning conceptual framework for integrating soft skills among students of technical colleges. IEEE Access, 8, 83718–83727. https://doi.org/10.1109/ACCESS.2020.2992092</w:t>
      </w:r>
    </w:p>
    <w:p w14:paraId="77B34945" w14:textId="77777777" w:rsidR="00C97567" w:rsidRDefault="00000000">
      <w:pPr>
        <w:spacing w:after="80" w:line="264" w:lineRule="auto"/>
        <w:ind w:left="720" w:hanging="720"/>
        <w:jc w:val="both"/>
      </w:pPr>
      <w:r>
        <w:rPr>
          <w:sz w:val="20"/>
          <w:szCs w:val="20"/>
        </w:rPr>
        <w:t>Fattah, F. A., Martono, T., &amp; Sawiji, H. (2022). Implementation and challenges of Teaching Factory learning at vocational high schools. Journal of Vocational Education Studies, 5(1), 14–24.</w:t>
      </w:r>
    </w:p>
    <w:p w14:paraId="340EC737" w14:textId="77777777" w:rsidR="00C97567" w:rsidRDefault="00000000">
      <w:pPr>
        <w:spacing w:after="80" w:line="264" w:lineRule="auto"/>
        <w:ind w:left="720" w:hanging="720"/>
        <w:jc w:val="both"/>
      </w:pPr>
      <w:r>
        <w:rPr>
          <w:sz w:val="20"/>
          <w:szCs w:val="20"/>
        </w:rPr>
        <w:t>Ferguson, T., &amp; Roofe, C. G. (2020). SDG 4 in higher education: Challenges and opportunities. International Journal of Sustainability in Higher Education, 21(5), 959–975. https://doi.org/10.1108/IJSHE-12-2019-0353</w:t>
      </w:r>
    </w:p>
    <w:p w14:paraId="35FD593B" w14:textId="77777777" w:rsidR="00C97567" w:rsidRDefault="00000000">
      <w:pPr>
        <w:spacing w:after="80" w:line="264" w:lineRule="auto"/>
        <w:ind w:left="720" w:hanging="720"/>
        <w:jc w:val="both"/>
      </w:pPr>
      <w:r>
        <w:rPr>
          <w:sz w:val="20"/>
          <w:szCs w:val="20"/>
        </w:rPr>
        <w:t>Fitra, R., Prasetya, F., Adri, J., García, J. L. C., Ayasrah, F. T. M., &amp; Fortuna, A. (2024). The impact of project-based learning on 21st century skill development of vocational engineering students: A systematic literature review. Journal of Engineering Researcher and Lecturer, 3(2), 1–12.</w:t>
      </w:r>
    </w:p>
    <w:p w14:paraId="5354F484" w14:textId="77777777" w:rsidR="00C97567" w:rsidRDefault="00000000">
      <w:pPr>
        <w:spacing w:after="80" w:line="264" w:lineRule="auto"/>
        <w:ind w:left="720" w:hanging="720"/>
        <w:jc w:val="both"/>
      </w:pPr>
      <w:r>
        <w:rPr>
          <w:sz w:val="20"/>
          <w:szCs w:val="20"/>
        </w:rPr>
        <w:t>Fitri, N., et al. (2024). The project-based learning model and its contribution to developing students' creativity. JPBI (Jurnal Pendidikan Biologi Indonesia), 10(1), 223–233.</w:t>
      </w:r>
    </w:p>
    <w:p w14:paraId="7D353BC0" w14:textId="77777777" w:rsidR="00C97567" w:rsidRDefault="00000000">
      <w:pPr>
        <w:spacing w:after="80" w:line="264" w:lineRule="auto"/>
        <w:ind w:left="720" w:hanging="720"/>
        <w:jc w:val="both"/>
      </w:pPr>
      <w:r>
        <w:rPr>
          <w:sz w:val="20"/>
          <w:szCs w:val="20"/>
        </w:rPr>
        <w:t>Furkan, L. M., Suryani, E., Nururly, S., Arshad, M. A. B., Girsang, Z. A., &amp; Hidayat, N. (2025). The business of sustainable tourism: University programs empowering local enterprises in East Lombok. International Journal of Community Service, 5(2), 66–73. https://doi.org/10.51601/ijcs.v5i2.860</w:t>
      </w:r>
    </w:p>
    <w:p w14:paraId="7E421FBE" w14:textId="77777777" w:rsidR="00C97567" w:rsidRDefault="00000000">
      <w:pPr>
        <w:spacing w:after="80" w:line="264" w:lineRule="auto"/>
        <w:ind w:left="720" w:hanging="720"/>
        <w:jc w:val="both"/>
      </w:pPr>
      <w:r>
        <w:rPr>
          <w:sz w:val="20"/>
          <w:szCs w:val="20"/>
        </w:rPr>
        <w:t>Guo, P., Saab, N., Post, L. S., &amp; Admiraal, W. (2020). A review of project-based learning in higher education: Student outcomes and measures. International Journal of Educational Research, 102, 101586. https://doi.org/10.1016/j.ijer.2020.101586</w:t>
      </w:r>
    </w:p>
    <w:p w14:paraId="49C8CAE9" w14:textId="77777777" w:rsidR="00C97567" w:rsidRDefault="00000000">
      <w:pPr>
        <w:spacing w:after="80" w:line="264" w:lineRule="auto"/>
        <w:ind w:left="720" w:hanging="720"/>
        <w:jc w:val="both"/>
      </w:pPr>
      <w:r>
        <w:rPr>
          <w:sz w:val="20"/>
          <w:szCs w:val="20"/>
        </w:rPr>
        <w:t>Hamburg, I. (2020). Facilitating lifelong learning in SMEs towards SDG4. Advances in Social Sciences Research Journal, 7(9), 262–272.</w:t>
      </w:r>
    </w:p>
    <w:p w14:paraId="371D3578" w14:textId="77777777" w:rsidR="00C97567" w:rsidRDefault="00000000">
      <w:pPr>
        <w:spacing w:after="80" w:line="264" w:lineRule="auto"/>
        <w:ind w:left="720" w:hanging="720"/>
        <w:jc w:val="both"/>
      </w:pPr>
      <w:r>
        <w:rPr>
          <w:sz w:val="20"/>
          <w:szCs w:val="20"/>
        </w:rPr>
        <w:t>Ibrahim, A., et al. (2025). Project-based learning framework integrating industry collaboration to enhance student future readiness in higher education. Scientific Reports, 15, 10385. https://doi.org/10.1038/s41598-025-10385-4</w:t>
      </w:r>
    </w:p>
    <w:p w14:paraId="76991ADA" w14:textId="77777777" w:rsidR="00C97567" w:rsidRPr="00F11533" w:rsidRDefault="00000000">
      <w:pPr>
        <w:spacing w:after="80" w:line="264" w:lineRule="auto"/>
        <w:ind w:left="720" w:hanging="720"/>
        <w:jc w:val="both"/>
        <w:rPr>
          <w:lang w:val="sv-SE"/>
        </w:rPr>
      </w:pPr>
      <w:r>
        <w:rPr>
          <w:sz w:val="20"/>
          <w:szCs w:val="20"/>
        </w:rPr>
        <w:t xml:space="preserve">Iliani, A. I., Nurhadi, D., Zahro, S., &amp; Ching, S. J. (2022). Entrepreneurship development based on Teaching Factory in fashion design skill programs at vocational high school. </w:t>
      </w:r>
      <w:r w:rsidRPr="00F11533">
        <w:rPr>
          <w:sz w:val="20"/>
          <w:szCs w:val="20"/>
          <w:lang w:val="sv-SE"/>
        </w:rPr>
        <w:t>Teknologi Dan Kejuruan: Jurnal Teknologi, Kejuruan, Dan Pengajarannya, 45, 168–173.</w:t>
      </w:r>
    </w:p>
    <w:p w14:paraId="6AA80A5D" w14:textId="77777777" w:rsidR="00C97567" w:rsidRDefault="00000000">
      <w:pPr>
        <w:spacing w:after="80" w:line="264" w:lineRule="auto"/>
        <w:ind w:left="720" w:hanging="720"/>
        <w:jc w:val="both"/>
      </w:pPr>
      <w:r w:rsidRPr="00F11533">
        <w:rPr>
          <w:sz w:val="20"/>
          <w:szCs w:val="20"/>
          <w:lang w:val="sv-SE"/>
        </w:rPr>
        <w:t xml:space="preserve">Kokotsaki, D., Menzies, V., &amp; Wiggins, A. (2016). </w:t>
      </w:r>
      <w:r>
        <w:rPr>
          <w:sz w:val="20"/>
          <w:szCs w:val="20"/>
        </w:rPr>
        <w:t>Project-based learning: A review of the literature. Improving Schools, 19(3), 267–277. https://doi.org/10.1177/1365480216659733</w:t>
      </w:r>
    </w:p>
    <w:p w14:paraId="4BA284A6" w14:textId="77777777" w:rsidR="00C97567" w:rsidRDefault="00000000">
      <w:pPr>
        <w:spacing w:after="80" w:line="264" w:lineRule="auto"/>
        <w:ind w:left="720" w:hanging="720"/>
        <w:jc w:val="both"/>
      </w:pPr>
      <w:r>
        <w:rPr>
          <w:sz w:val="20"/>
          <w:szCs w:val="20"/>
        </w:rPr>
        <w:t>Liu, X., Wang, Y., &amp; Zhang, M. (2025). How China's vocational education formed its distinctive system: A five-element integration theory perspective. Frontiers in Education, 10, 1608450. https://doi.org/10.3389/feduc.2025.1608450</w:t>
      </w:r>
    </w:p>
    <w:p w14:paraId="34C7BF9A" w14:textId="77777777" w:rsidR="00C97567" w:rsidRDefault="00000000">
      <w:pPr>
        <w:spacing w:after="80" w:line="264" w:lineRule="auto"/>
        <w:ind w:left="720" w:hanging="720"/>
        <w:jc w:val="both"/>
      </w:pPr>
      <w:r>
        <w:rPr>
          <w:sz w:val="20"/>
          <w:szCs w:val="20"/>
        </w:rPr>
        <w:t>Megayanti, T., Busono, R. T., &amp; Maknun, J. (2020). Project-based learning efficacy in vocational education: A literature review. IOP Conference Series: Materials Science and Engineering, 830, 042075. https://doi.org/10.1088/1757-899X/830/4/042075</w:t>
      </w:r>
    </w:p>
    <w:p w14:paraId="6E0E54FA" w14:textId="77777777" w:rsidR="00C97567" w:rsidRDefault="00000000">
      <w:pPr>
        <w:spacing w:after="80" w:line="264" w:lineRule="auto"/>
        <w:ind w:left="720" w:hanging="720"/>
        <w:jc w:val="both"/>
      </w:pPr>
      <w:r>
        <w:rPr>
          <w:sz w:val="20"/>
          <w:szCs w:val="20"/>
        </w:rPr>
        <w:t>Ministry of Tourism, Republic of Indonesia. (2022). National Tourism Development Strategy 2022–2029. Jakarta: Ministry of Tourism Publication Division.</w:t>
      </w:r>
    </w:p>
    <w:p w14:paraId="36DEF973" w14:textId="77777777" w:rsidR="00C97567" w:rsidRDefault="00000000">
      <w:pPr>
        <w:spacing w:after="80" w:line="264" w:lineRule="auto"/>
        <w:ind w:left="720" w:hanging="720"/>
        <w:jc w:val="both"/>
      </w:pPr>
      <w:r>
        <w:rPr>
          <w:sz w:val="20"/>
          <w:szCs w:val="20"/>
        </w:rPr>
        <w:lastRenderedPageBreak/>
        <w:t>PBLWorks. (2024). What is Project Based Learning? Buck Institute for Education. https://www.pblworks.org/what-is-pbl</w:t>
      </w:r>
    </w:p>
    <w:p w14:paraId="231489B8" w14:textId="77777777" w:rsidR="00C97567" w:rsidRDefault="00000000">
      <w:pPr>
        <w:spacing w:after="80" w:line="264" w:lineRule="auto"/>
        <w:ind w:left="720" w:hanging="720"/>
        <w:jc w:val="both"/>
      </w:pPr>
      <w:r w:rsidRPr="00F11533">
        <w:rPr>
          <w:sz w:val="20"/>
          <w:szCs w:val="20"/>
          <w:lang w:val="sv-SE"/>
        </w:rPr>
        <w:t xml:space="preserve">Rahayu, S. M., Anjarwi, A. W., Anggoro, D. D., &amp; Alfandia, N. S. (2024). Pendampingan digital marketing bagi UMKM di Desa Wisata Bumiaji. </w:t>
      </w:r>
      <w:r>
        <w:rPr>
          <w:sz w:val="20"/>
          <w:szCs w:val="20"/>
        </w:rPr>
        <w:t>PengabdianMu: Jurnal Ilmiah Pengabdian kepada Masyarakat, 9(4), 629–639.</w:t>
      </w:r>
    </w:p>
    <w:p w14:paraId="65F4229F" w14:textId="77777777" w:rsidR="00C97567" w:rsidRDefault="00000000">
      <w:pPr>
        <w:spacing w:after="80" w:line="264" w:lineRule="auto"/>
        <w:ind w:left="720" w:hanging="720"/>
        <w:jc w:val="both"/>
      </w:pPr>
      <w:r>
        <w:rPr>
          <w:sz w:val="20"/>
          <w:szCs w:val="20"/>
        </w:rPr>
        <w:t>Said, S. A., &amp; Abdallah, W. (2024). Lifelong learning for sustainable development: Aligning adult education with SDG 4. In A. Hamdan &amp; A. Harraf (Eds.), Business Development via AI and Digitalization. Studies in Systems, Decision and Control, vol. 537. Springer. https://doi.org/10.1007/978-3-031-62106-2_21</w:t>
      </w:r>
    </w:p>
    <w:p w14:paraId="61E1123D" w14:textId="77777777" w:rsidR="00C97567" w:rsidRPr="00F11533" w:rsidRDefault="00000000">
      <w:pPr>
        <w:spacing w:after="80" w:line="264" w:lineRule="auto"/>
        <w:ind w:left="720" w:hanging="720"/>
        <w:jc w:val="both"/>
        <w:rPr>
          <w:lang w:val="sv-SE"/>
        </w:rPr>
      </w:pPr>
      <w:r w:rsidRPr="00F11533">
        <w:rPr>
          <w:sz w:val="20"/>
          <w:szCs w:val="20"/>
          <w:lang w:val="sv-SE"/>
        </w:rPr>
        <w:t>Saputra, I. G. N. W. H., Wijaya, G. C., &amp; Lestari, N. P. N. E. (2024). Transformasi digital UMKM: Program upskilling digital marketing di Pantai Jerman, Kuta, Bali. Jurnal ABDINUS: Jurnal Pengabdian Nusantara, 8(3), 780–788. https://doi.org/10.29407/ja.v8i3.23509</w:t>
      </w:r>
    </w:p>
    <w:p w14:paraId="12859E42" w14:textId="77777777" w:rsidR="00C97567" w:rsidRDefault="00000000">
      <w:pPr>
        <w:spacing w:after="80" w:line="264" w:lineRule="auto"/>
        <w:ind w:left="720" w:hanging="720"/>
        <w:jc w:val="both"/>
      </w:pPr>
      <w:r w:rsidRPr="00F11533">
        <w:rPr>
          <w:sz w:val="20"/>
          <w:szCs w:val="20"/>
          <w:lang w:val="sv-SE"/>
        </w:rPr>
        <w:t xml:space="preserve">Setyobudi, Y. E. (2025). UMKM sebagai tulang punggung pendapatan negara. </w:t>
      </w:r>
      <w:r>
        <w:rPr>
          <w:sz w:val="20"/>
          <w:szCs w:val="20"/>
        </w:rPr>
        <w:t>Kadin Indonesia / Netralnews.com. https://kadin.id/en/data-dan-statistik/umkm-indonesia/</w:t>
      </w:r>
    </w:p>
    <w:p w14:paraId="2B14F343" w14:textId="77777777" w:rsidR="00C97567" w:rsidRDefault="00000000">
      <w:pPr>
        <w:spacing w:after="80" w:line="264" w:lineRule="auto"/>
        <w:ind w:left="720" w:hanging="720"/>
        <w:jc w:val="both"/>
      </w:pPr>
      <w:r>
        <w:rPr>
          <w:sz w:val="20"/>
          <w:szCs w:val="20"/>
        </w:rPr>
        <w:t>Thomas, J. W. (2000). A review of research on Project-Based Learning. San Rafael, CA: The Autodesk Foundation.</w:t>
      </w:r>
    </w:p>
    <w:p w14:paraId="5DC52E66" w14:textId="77777777" w:rsidR="00C97567" w:rsidRDefault="00000000">
      <w:pPr>
        <w:spacing w:after="80" w:line="264" w:lineRule="auto"/>
        <w:ind w:left="720" w:hanging="720"/>
        <w:jc w:val="both"/>
      </w:pPr>
      <w:r>
        <w:rPr>
          <w:sz w:val="20"/>
          <w:szCs w:val="20"/>
        </w:rPr>
        <w:t>UNESCO. (2022). UNESCO Strategy for Technical and Vocational Education and Training 2022–2029. Paris: UNESCO-UNEVOC. https://unevoc.unesco.org/pub/unesco_strategy_for_tvet_2022-2029.pdf</w:t>
      </w:r>
    </w:p>
    <w:p w14:paraId="7091EFD2" w14:textId="77777777" w:rsidR="00C97567" w:rsidRDefault="00000000">
      <w:pPr>
        <w:spacing w:after="80" w:line="264" w:lineRule="auto"/>
        <w:ind w:left="720" w:hanging="720"/>
        <w:jc w:val="both"/>
      </w:pPr>
      <w:r>
        <w:rPr>
          <w:sz w:val="20"/>
          <w:szCs w:val="20"/>
        </w:rPr>
        <w:t>UNESCO-UNEVOC. (2022). Transforming Technical and Vocational Education and Training: Building Inclusive, Resilient and Sustainable TVET Systems. Bonn: UNESCO-UNEVOC International Centre. https://unesdoc.unesco.org/ark:/48223/pf0000383360</w:t>
      </w:r>
    </w:p>
    <w:p w14:paraId="29AA334B" w14:textId="77777777" w:rsidR="00C97567" w:rsidRDefault="00000000">
      <w:pPr>
        <w:spacing w:after="80" w:line="264" w:lineRule="auto"/>
        <w:ind w:left="720" w:hanging="720"/>
        <w:jc w:val="both"/>
      </w:pPr>
      <w:r>
        <w:rPr>
          <w:sz w:val="20"/>
          <w:szCs w:val="20"/>
        </w:rPr>
        <w:t>United Nations. (2015). Transforming our world: The 2030 Agenda for Sustainable Development. Resolution adopted by the General Assembly, A/RES/70/1. New York: United Nations.</w:t>
      </w:r>
    </w:p>
    <w:p w14:paraId="017E7C39" w14:textId="77777777" w:rsidR="00C97567" w:rsidRDefault="00000000">
      <w:pPr>
        <w:spacing w:after="80" w:line="264" w:lineRule="auto"/>
        <w:ind w:left="720" w:hanging="720"/>
        <w:jc w:val="both"/>
      </w:pPr>
      <w:r>
        <w:rPr>
          <w:sz w:val="20"/>
          <w:szCs w:val="20"/>
        </w:rPr>
        <w:t>UN DESA. (2024). Sustainable Development Goal 4: Quality education – progress report 2024. United Nations Department of Economic and Social Affairs. https://sdgs.un.org/goals/goal4</w:t>
      </w:r>
    </w:p>
    <w:p w14:paraId="6C703E1E" w14:textId="77777777" w:rsidR="00C97567" w:rsidRDefault="00000000">
      <w:pPr>
        <w:spacing w:after="80" w:line="264" w:lineRule="auto"/>
        <w:ind w:left="720" w:hanging="720"/>
        <w:jc w:val="both"/>
      </w:pPr>
      <w:r>
        <w:rPr>
          <w:sz w:val="20"/>
          <w:szCs w:val="20"/>
        </w:rPr>
        <w:t>Vindigni, G. (2024). Overcoming barriers to inclusive and equitable education: A systematic review towards achieving SDG 4. European Journal of Arts, Humanities and Social Sciences, 1(5), 3–47. https://doi.org/10.59324/ejahss.2024.1(5).01</w:t>
      </w:r>
    </w:p>
    <w:p w14:paraId="290BF392" w14:textId="77777777" w:rsidR="00C97567" w:rsidRDefault="00000000">
      <w:pPr>
        <w:spacing w:after="80" w:line="264" w:lineRule="auto"/>
        <w:ind w:left="720" w:hanging="720"/>
        <w:jc w:val="both"/>
      </w:pPr>
      <w:r>
        <w:rPr>
          <w:sz w:val="20"/>
          <w:szCs w:val="20"/>
        </w:rPr>
        <w:t>Wahyudin, D., Nurhadi, D., Zahro, S., &amp; Ching, S. J. (2025). Enhancing vocational education through the Teaching Factory model: Industry and educational institution collaboration. International Journal of Learning, Teaching and Educational Research, 9(2), 1747–1758.</w:t>
      </w:r>
    </w:p>
    <w:p w14:paraId="4A8BF1FE" w14:textId="77777777" w:rsidR="00C97567" w:rsidRDefault="00000000">
      <w:pPr>
        <w:spacing w:after="80" w:line="264" w:lineRule="auto"/>
        <w:ind w:left="720" w:hanging="720"/>
        <w:jc w:val="both"/>
      </w:pPr>
      <w:r>
        <w:rPr>
          <w:sz w:val="20"/>
          <w:szCs w:val="20"/>
        </w:rPr>
        <w:t>Yin, R. K. (2018). Case Study Research and Applications: Design and Methods (6th ed.). Thousand Oaks, CA: SAGE Publications.</w:t>
      </w:r>
    </w:p>
    <w:sectPr w:rsidR="00C9756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D1498"/>
    <w:multiLevelType w:val="hybridMultilevel"/>
    <w:tmpl w:val="8B56F19C"/>
    <w:lvl w:ilvl="0" w:tplc="8CC04D22">
      <w:start w:val="1"/>
      <w:numFmt w:val="bullet"/>
      <w:lvlText w:val="●"/>
      <w:lvlJc w:val="left"/>
      <w:pPr>
        <w:ind w:left="720" w:hanging="360"/>
      </w:pPr>
    </w:lvl>
    <w:lvl w:ilvl="1" w:tplc="8C925FCA">
      <w:start w:val="1"/>
      <w:numFmt w:val="bullet"/>
      <w:lvlText w:val="○"/>
      <w:lvlJc w:val="left"/>
      <w:pPr>
        <w:ind w:left="1440" w:hanging="360"/>
      </w:pPr>
    </w:lvl>
    <w:lvl w:ilvl="2" w:tplc="448AB49E">
      <w:start w:val="1"/>
      <w:numFmt w:val="bullet"/>
      <w:lvlText w:val="■"/>
      <w:lvlJc w:val="left"/>
      <w:pPr>
        <w:ind w:left="2160" w:hanging="360"/>
      </w:pPr>
    </w:lvl>
    <w:lvl w:ilvl="3" w:tplc="AF027536">
      <w:start w:val="1"/>
      <w:numFmt w:val="bullet"/>
      <w:lvlText w:val="●"/>
      <w:lvlJc w:val="left"/>
      <w:pPr>
        <w:ind w:left="2880" w:hanging="360"/>
      </w:pPr>
    </w:lvl>
    <w:lvl w:ilvl="4" w:tplc="123E3DCC">
      <w:start w:val="1"/>
      <w:numFmt w:val="bullet"/>
      <w:lvlText w:val="○"/>
      <w:lvlJc w:val="left"/>
      <w:pPr>
        <w:ind w:left="3600" w:hanging="360"/>
      </w:pPr>
    </w:lvl>
    <w:lvl w:ilvl="5" w:tplc="1C1CB14E">
      <w:start w:val="1"/>
      <w:numFmt w:val="bullet"/>
      <w:lvlText w:val="■"/>
      <w:lvlJc w:val="left"/>
      <w:pPr>
        <w:ind w:left="4320" w:hanging="360"/>
      </w:pPr>
    </w:lvl>
    <w:lvl w:ilvl="6" w:tplc="8B3CE018">
      <w:start w:val="1"/>
      <w:numFmt w:val="bullet"/>
      <w:lvlText w:val="●"/>
      <w:lvlJc w:val="left"/>
      <w:pPr>
        <w:ind w:left="5040" w:hanging="360"/>
      </w:pPr>
    </w:lvl>
    <w:lvl w:ilvl="7" w:tplc="8D9E70B0">
      <w:start w:val="1"/>
      <w:numFmt w:val="bullet"/>
      <w:lvlText w:val="●"/>
      <w:lvlJc w:val="left"/>
      <w:pPr>
        <w:ind w:left="5760" w:hanging="360"/>
      </w:pPr>
    </w:lvl>
    <w:lvl w:ilvl="8" w:tplc="75665DE4">
      <w:start w:val="1"/>
      <w:numFmt w:val="bullet"/>
      <w:lvlText w:val="●"/>
      <w:lvlJc w:val="left"/>
      <w:pPr>
        <w:ind w:left="6480" w:hanging="360"/>
      </w:pPr>
    </w:lvl>
  </w:abstractNum>
  <w:num w:numId="1" w16cid:durableId="13074724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567"/>
    <w:rsid w:val="00287A5E"/>
    <w:rsid w:val="009D43E3"/>
    <w:rsid w:val="00A55321"/>
    <w:rsid w:val="00A600AD"/>
    <w:rsid w:val="00C97567"/>
    <w:rsid w:val="00F115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E409"/>
  <w15:docId w15:val="{3A8D036B-AA69-408B-ADF6-F4B5AF15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3332</Words>
  <Characters>23260</Characters>
  <Application>Microsoft Office Word</Application>
  <DocSecurity>0</DocSecurity>
  <Lines>332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anonymous</cp:lastModifiedBy>
  <cp:revision>4</cp:revision>
  <dcterms:created xsi:type="dcterms:W3CDTF">2026-03-28T02:47:00Z</dcterms:created>
  <dcterms:modified xsi:type="dcterms:W3CDTF">2026-03-28T04:55:00Z</dcterms:modified>
</cp:coreProperties>
</file>