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A068BC" w14:textId="77777777" w:rsidR="00313ADC" w:rsidRPr="00313ADC" w:rsidRDefault="00313ADC" w:rsidP="00313ADC">
      <w:pPr>
        <w:pStyle w:val="isselectedend"/>
        <w:jc w:val="both"/>
        <w:rPr>
          <w:rFonts w:ascii="Arial" w:hAnsi="Arial" w:cs="Arial"/>
          <w:b/>
          <w:bCs/>
          <w:sz w:val="22"/>
          <w:szCs w:val="22"/>
        </w:rPr>
      </w:pPr>
      <w:r w:rsidRPr="00313ADC">
        <w:rPr>
          <w:rFonts w:ascii="Arial" w:hAnsi="Arial" w:cs="Arial"/>
          <w:b/>
          <w:bCs/>
          <w:sz w:val="22"/>
          <w:szCs w:val="22"/>
        </w:rPr>
        <w:t>Reimagining Housing Affordability and Lifelong Learning for Sustainable Community Resilience in Malaysia</w:t>
      </w:r>
    </w:p>
    <w:p w14:paraId="6FDEDBEC" w14:textId="77777777" w:rsidR="00313ADC" w:rsidRPr="00313ADC" w:rsidRDefault="00313ADC" w:rsidP="00313ADC">
      <w:pPr>
        <w:pStyle w:val="isselectedend"/>
        <w:jc w:val="both"/>
        <w:rPr>
          <w:rFonts w:ascii="Arial" w:hAnsi="Arial" w:cs="Arial"/>
          <w:sz w:val="22"/>
          <w:szCs w:val="22"/>
        </w:rPr>
      </w:pPr>
      <w:r w:rsidRPr="00313ADC">
        <w:rPr>
          <w:rFonts w:ascii="Arial" w:hAnsi="Arial" w:cs="Arial"/>
          <w:sz w:val="22"/>
          <w:szCs w:val="22"/>
        </w:rPr>
        <w:t>Abstract</w:t>
      </w:r>
    </w:p>
    <w:p w14:paraId="53A7CE97" w14:textId="77777777" w:rsidR="00313ADC" w:rsidRPr="00313ADC" w:rsidRDefault="00313ADC" w:rsidP="00313ADC">
      <w:pPr>
        <w:pStyle w:val="isselectedend"/>
        <w:jc w:val="both"/>
        <w:rPr>
          <w:rFonts w:ascii="Arial" w:hAnsi="Arial" w:cs="Arial"/>
          <w:sz w:val="22"/>
          <w:szCs w:val="22"/>
        </w:rPr>
      </w:pPr>
      <w:r w:rsidRPr="00313ADC">
        <w:rPr>
          <w:rFonts w:ascii="Arial" w:hAnsi="Arial" w:cs="Arial"/>
          <w:sz w:val="22"/>
          <w:szCs w:val="22"/>
        </w:rPr>
        <w:t>Malaysia’s urban transformation has generated significant economic opportunities; however, it has simultaneously intensified challenges relating to housing affordability, social mobility, and community resilience. Recent national estimates indicate that more than 76% of households in major urban centres are unable to afford median-priced housing within conventional affordability thresholds, while household debt remains above 80% of Gross Domestic Product, among the highest in Southeast Asia. These structural pressures have raised critical questions regarding the preparedness of communities to navigate increasingly complex housing markets, changing employment patterns, and evolving socio-economic risks. This paper argues that housing affordability should no longer be examined solely through the traditional lens of price-to-income ratios, but rather as a multidimensional lifelong learning challenge involving financial literacy, housing knowledge, digital capability, and community participation. Drawing upon a mixed-method research design involving national affordability indicators, stakeholder consultations, and comparative urban case studies across Kuala Lumpur, Johor Bahru, Penang, and Kota Kinabalu, the study investigates the relationship between learning capacity and long-term housing sustainability. The findings reveal that communities demonstrating higher levels of housing-related knowledge and financial preparedness exhibit significantly stronger adaptive capacity, greater residential stability, and improved participation in local development initiatives. Statistical modelling further suggests that community-based learning interventions may contribute to measurable reductions in housing vulnerability, particularly among younger households and first-time homebuyers. The study proposes an Integrated Housing Learning Ecosystem Framework that positions universities, local authorities, financial institutions, and community organisations as collaborative agents of sustainable development. The paper contributes to contemporary discourse on lifelong learning by extending its application beyond formal education into the domains of housing governance, community resilience, and sustainable urban development. It further supports the aspirations of Sustainable Development Goals 4, 11, and 17 while offering policy directions for strengthening inclusive and future-ready communities within Malaysia’s rapidly evolving real estate environment.</w:t>
      </w:r>
    </w:p>
    <w:p w14:paraId="67AD5962" w14:textId="77777777" w:rsidR="00313ADC" w:rsidRPr="00313ADC" w:rsidRDefault="00313ADC" w:rsidP="00313ADC">
      <w:pPr>
        <w:pStyle w:val="NormalWeb"/>
        <w:jc w:val="both"/>
        <w:rPr>
          <w:rFonts w:ascii="Arial" w:hAnsi="Arial" w:cs="Arial"/>
          <w:sz w:val="22"/>
          <w:szCs w:val="22"/>
        </w:rPr>
      </w:pPr>
      <w:r w:rsidRPr="00906094">
        <w:rPr>
          <w:rFonts w:ascii="Arial" w:hAnsi="Arial" w:cs="Arial"/>
          <w:b/>
          <w:bCs/>
          <w:sz w:val="22"/>
          <w:szCs w:val="22"/>
        </w:rPr>
        <w:t>Keywords:</w:t>
      </w:r>
      <w:r w:rsidRPr="00313ADC">
        <w:rPr>
          <w:rFonts w:ascii="Arial" w:hAnsi="Arial" w:cs="Arial"/>
          <w:sz w:val="22"/>
          <w:szCs w:val="22"/>
        </w:rPr>
        <w:t xml:space="preserve"> Housing Affordability, Lifelong Learning, Community Resilience, Sustainable Development, Real Estate Economics, Malaysia.</w:t>
      </w:r>
    </w:p>
    <w:p w14:paraId="004AFF57" w14:textId="77777777" w:rsidR="00313ADC" w:rsidRPr="00313ADC" w:rsidRDefault="00313ADC" w:rsidP="00313ADC">
      <w:pPr>
        <w:jc w:val="both"/>
        <w:rPr>
          <w:rFonts w:ascii="Arial" w:hAnsi="Arial" w:cs="Arial"/>
          <w:b/>
          <w:bCs/>
        </w:rPr>
      </w:pPr>
      <w:r w:rsidRPr="00313ADC">
        <w:rPr>
          <w:rFonts w:ascii="Arial" w:hAnsi="Arial" w:cs="Arial"/>
          <w:b/>
          <w:bCs/>
        </w:rPr>
        <w:t>Track 5: Community Empowerment through Lifelong Learning</w:t>
      </w:r>
    </w:p>
    <w:p w14:paraId="13D6EB5F" w14:textId="77777777" w:rsidR="00F411A8" w:rsidRPr="00313ADC" w:rsidRDefault="00F411A8">
      <w:pPr>
        <w:rPr>
          <w:rFonts w:ascii="Arial" w:hAnsi="Arial" w:cs="Arial"/>
        </w:rPr>
      </w:pPr>
    </w:p>
    <w:sectPr w:rsidR="00F411A8" w:rsidRPr="00313A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C1A"/>
    <w:rsid w:val="000F4944"/>
    <w:rsid w:val="00313ADC"/>
    <w:rsid w:val="004C0501"/>
    <w:rsid w:val="00800719"/>
    <w:rsid w:val="00906094"/>
    <w:rsid w:val="0099445F"/>
    <w:rsid w:val="00D53C1A"/>
    <w:rsid w:val="00DC6084"/>
    <w:rsid w:val="00F411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CBA82"/>
  <w15:chartTrackingRefBased/>
  <w15:docId w15:val="{C0E4E60E-C22C-4E6B-AB56-9CC45BD00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3A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sselectedend">
    <w:name w:val="isselectedend"/>
    <w:basedOn w:val="Normal"/>
    <w:rsid w:val="00313ADC"/>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313AD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414</Words>
  <Characters>2365</Characters>
  <Application>Microsoft Office Word</Application>
  <DocSecurity>0</DocSecurity>
  <Lines>19</Lines>
  <Paragraphs>5</Paragraphs>
  <ScaleCrop>false</ScaleCrop>
  <Company/>
  <LinksUpToDate>false</LinksUpToDate>
  <CharactersWithSpaces>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NOORSIDI AIZUDDIN BIN MAT NOOR</dc:creator>
  <cp:keywords/>
  <dc:description/>
  <cp:lastModifiedBy>NOORSIDI AIZUDDIN BIN MAT NOOR</cp:lastModifiedBy>
  <cp:revision>3</cp:revision>
  <dcterms:created xsi:type="dcterms:W3CDTF">2026-05-30T12:33:00Z</dcterms:created>
  <dcterms:modified xsi:type="dcterms:W3CDTF">2026-05-30T12:33:00Z</dcterms:modified>
</cp:coreProperties>
</file>