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1CC0595" w14:textId="77777777" w:rsidR="00434167" w:rsidRDefault="006F021E">
      <w:pPr>
        <w:widowControl/>
        <w:pBdr>
          <w:top w:val="nil"/>
          <w:left w:val="nil"/>
          <w:bottom w:val="nil"/>
          <w:right w:val="nil"/>
          <w:between w:val="nil"/>
        </w:pBdr>
        <w:jc w:val="center"/>
        <w:rPr>
          <w:b/>
          <w:bCs/>
          <w:color w:val="000000"/>
          <w:sz w:val="28"/>
          <w:szCs w:val="28"/>
        </w:rPr>
      </w:pPr>
      <w:r>
        <w:rPr>
          <w:b/>
          <w:bCs/>
          <w:sz w:val="28"/>
          <w:szCs w:val="28"/>
        </w:rPr>
        <w:t xml:space="preserve">Prioritizing Feature Development for Safety Driving Applications: An Analytic Hierarchy Process (AHP) Approach in the Era of Transportation Digitalization </w:t>
      </w:r>
    </w:p>
    <w:p w14:paraId="4AFEF11B" w14:textId="77777777" w:rsidR="00434167" w:rsidRDefault="00434167">
      <w:pPr>
        <w:widowControl/>
        <w:pBdr>
          <w:top w:val="nil"/>
          <w:left w:val="nil"/>
          <w:bottom w:val="nil"/>
          <w:right w:val="nil"/>
          <w:between w:val="nil"/>
        </w:pBdr>
        <w:jc w:val="center"/>
        <w:rPr>
          <w:b/>
          <w:bCs/>
          <w:color w:val="000000"/>
        </w:rPr>
      </w:pPr>
    </w:p>
    <w:p w14:paraId="317479B1" w14:textId="46D8F6D9" w:rsidR="00434167" w:rsidRDefault="00971C5E">
      <w:pPr>
        <w:widowControl/>
        <w:pBdr>
          <w:top w:val="nil"/>
          <w:left w:val="nil"/>
          <w:bottom w:val="nil"/>
          <w:right w:val="nil"/>
          <w:between w:val="nil"/>
        </w:pBdr>
        <w:jc w:val="center"/>
        <w:rPr>
          <w:i/>
          <w:iCs/>
          <w:color w:val="000000"/>
          <w:sz w:val="36"/>
          <w:szCs w:val="36"/>
          <w:vertAlign w:val="superscript"/>
        </w:rPr>
      </w:pPr>
      <w:r w:rsidRPr="00971C5E">
        <w:rPr>
          <w:b/>
          <w:bCs/>
          <w:color w:val="000000"/>
        </w:rPr>
        <w:t>Tofan Agung Eka Prasetya</w:t>
      </w:r>
      <w:r w:rsidR="006F021E">
        <w:rPr>
          <w:b/>
          <w:bCs/>
          <w:color w:val="000000"/>
          <w:vertAlign w:val="superscript"/>
        </w:rPr>
        <w:t>1</w:t>
      </w:r>
      <w:r w:rsidR="006F021E">
        <w:rPr>
          <w:b/>
          <w:bCs/>
          <w:color w:val="000000"/>
        </w:rPr>
        <w:t xml:space="preserve">, </w:t>
      </w:r>
      <w:r w:rsidRPr="00971C5E">
        <w:rPr>
          <w:b/>
          <w:bCs/>
          <w:color w:val="000000"/>
        </w:rPr>
        <w:t>Ibrahim Al Khowwas</w:t>
      </w:r>
      <w:r w:rsidR="006F021E">
        <w:rPr>
          <w:b/>
          <w:bCs/>
          <w:color w:val="000000"/>
          <w:vertAlign w:val="superscript"/>
        </w:rPr>
        <w:t>2</w:t>
      </w:r>
      <w:r w:rsidR="006F021E">
        <w:rPr>
          <w:b/>
          <w:bCs/>
          <w:color w:val="000000"/>
        </w:rPr>
        <w:t xml:space="preserve"> and </w:t>
      </w:r>
      <w:r>
        <w:rPr>
          <w:b/>
          <w:bCs/>
          <w:color w:val="000000"/>
        </w:rPr>
        <w:t>Farhan Aldan Khairian</w:t>
      </w:r>
      <w:r w:rsidR="006F021E">
        <w:rPr>
          <w:b/>
          <w:bCs/>
          <w:color w:val="000000"/>
          <w:vertAlign w:val="superscript"/>
        </w:rPr>
        <w:t>3</w:t>
      </w:r>
    </w:p>
    <w:p w14:paraId="5C6D4FD2" w14:textId="77777777" w:rsidR="00434167" w:rsidRDefault="00434167">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p>
    <w:p w14:paraId="689C00EE" w14:textId="0F6874C0" w:rsidR="00434167" w:rsidRDefault="006F021E">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i/>
          <w:iCs/>
          <w:sz w:val="22"/>
          <w:szCs w:val="22"/>
        </w:rPr>
      </w:pPr>
      <w:r>
        <w:rPr>
          <w:sz w:val="22"/>
          <w:szCs w:val="22"/>
          <w:vertAlign w:val="superscript"/>
        </w:rPr>
        <w:t>1</w:t>
      </w:r>
      <w:r>
        <w:rPr>
          <w:sz w:val="22"/>
          <w:szCs w:val="22"/>
        </w:rPr>
        <w:t xml:space="preserve"> </w:t>
      </w:r>
      <w:r w:rsidR="00971C5E" w:rsidRPr="00971C5E">
        <w:rPr>
          <w:sz w:val="22"/>
          <w:szCs w:val="22"/>
        </w:rPr>
        <w:t>Faculty of Vocational Studies, Universitas Airlangga,</w:t>
      </w:r>
      <w:r w:rsidR="00971C5E">
        <w:rPr>
          <w:sz w:val="22"/>
          <w:szCs w:val="22"/>
        </w:rPr>
        <w:t xml:space="preserve"> </w:t>
      </w:r>
      <w:r w:rsidR="00971C5E" w:rsidRPr="00971C5E">
        <w:rPr>
          <w:sz w:val="22"/>
          <w:szCs w:val="22"/>
        </w:rPr>
        <w:t>Indonesia</w:t>
      </w:r>
    </w:p>
    <w:p w14:paraId="43DC9BE7" w14:textId="5D90ADF0" w:rsidR="00434167" w:rsidRDefault="006F021E">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i/>
          <w:iCs/>
          <w:sz w:val="22"/>
          <w:szCs w:val="22"/>
        </w:rPr>
      </w:pPr>
      <w:r>
        <w:rPr>
          <w:sz w:val="22"/>
          <w:szCs w:val="22"/>
          <w:vertAlign w:val="superscript"/>
        </w:rPr>
        <w:t xml:space="preserve"> 2</w:t>
      </w:r>
      <w:r>
        <w:rPr>
          <w:sz w:val="22"/>
          <w:szCs w:val="22"/>
        </w:rPr>
        <w:t xml:space="preserve"> </w:t>
      </w:r>
      <w:r w:rsidR="00971C5E" w:rsidRPr="00971C5E">
        <w:rPr>
          <w:sz w:val="22"/>
          <w:szCs w:val="22"/>
        </w:rPr>
        <w:t>Faculty of Vocational Studies, Universitas Airlangga,</w:t>
      </w:r>
      <w:r w:rsidR="00971C5E">
        <w:rPr>
          <w:sz w:val="22"/>
          <w:szCs w:val="22"/>
        </w:rPr>
        <w:t xml:space="preserve"> </w:t>
      </w:r>
      <w:r w:rsidR="00971C5E" w:rsidRPr="00971C5E">
        <w:rPr>
          <w:sz w:val="22"/>
          <w:szCs w:val="22"/>
        </w:rPr>
        <w:t>Indonesia</w:t>
      </w:r>
    </w:p>
    <w:p w14:paraId="0155C6E9" w14:textId="30B598D0" w:rsidR="00434167" w:rsidRDefault="006F021E">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b/>
          <w:bCs/>
          <w:sz w:val="22"/>
          <w:szCs w:val="22"/>
        </w:rPr>
      </w:pPr>
      <w:r>
        <w:rPr>
          <w:sz w:val="22"/>
          <w:szCs w:val="22"/>
          <w:vertAlign w:val="superscript"/>
        </w:rPr>
        <w:t>3</w:t>
      </w:r>
      <w:r>
        <w:rPr>
          <w:sz w:val="22"/>
          <w:szCs w:val="22"/>
        </w:rPr>
        <w:t xml:space="preserve"> </w:t>
      </w:r>
      <w:r w:rsidR="00971C5E" w:rsidRPr="00971C5E">
        <w:rPr>
          <w:sz w:val="22"/>
          <w:szCs w:val="22"/>
        </w:rPr>
        <w:t>Faculty of Science and Technology, Universitas Airlangga, Indonesia</w:t>
      </w:r>
      <w:r>
        <w:rPr>
          <w:i/>
          <w:iCs/>
          <w:sz w:val="22"/>
          <w:szCs w:val="22"/>
        </w:rPr>
        <w:t>)</w:t>
      </w:r>
    </w:p>
    <w:p w14:paraId="52BC91E4" w14:textId="0A801B7C" w:rsidR="00434167" w:rsidRDefault="006F021E">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sz w:val="22"/>
          <w:szCs w:val="22"/>
        </w:rPr>
      </w:pPr>
      <w:r>
        <w:rPr>
          <w:sz w:val="22"/>
          <w:szCs w:val="22"/>
        </w:rPr>
        <w:t xml:space="preserve">* </w:t>
      </w:r>
      <w:r w:rsidR="00971C5E" w:rsidRPr="00971C5E">
        <w:rPr>
          <w:sz w:val="22"/>
          <w:szCs w:val="22"/>
        </w:rPr>
        <w:t>Corresponding author: tofan-agung-e-p@vokasi.unair.ac.id</w:t>
      </w:r>
    </w:p>
    <w:p w14:paraId="2735A8FA" w14:textId="77777777" w:rsidR="00434167" w:rsidRDefault="00434167">
      <w:pPr>
        <w:widowControl/>
        <w:pBdr>
          <w:top w:val="nil"/>
          <w:left w:val="nil"/>
          <w:bottom w:val="nil"/>
          <w:right w:val="nil"/>
          <w:between w:val="nil"/>
        </w:pBdr>
        <w:jc w:val="both"/>
        <w:rPr>
          <w:b/>
          <w:bCs/>
          <w:color w:val="000000"/>
        </w:rPr>
      </w:pPr>
    </w:p>
    <w:p w14:paraId="50A05942" w14:textId="77777777" w:rsidR="00434167" w:rsidRDefault="006F021E">
      <w:pPr>
        <w:jc w:val="both"/>
        <w:rPr>
          <w:i/>
          <w:iCs/>
          <w:sz w:val="22"/>
          <w:szCs w:val="22"/>
        </w:rPr>
      </w:pPr>
      <w:commentRangeStart w:id="0"/>
      <w:r>
        <w:rPr>
          <w:b/>
          <w:bCs/>
          <w:i/>
          <w:iCs/>
          <w:sz w:val="22"/>
          <w:szCs w:val="22"/>
        </w:rPr>
        <w:t>Abstract</w:t>
      </w:r>
      <w:r>
        <w:rPr>
          <w:b/>
          <w:bCs/>
          <w:i/>
          <w:iCs/>
          <w:color w:val="4F81BD"/>
          <w:sz w:val="22"/>
          <w:szCs w:val="22"/>
        </w:rPr>
        <w:t>:</w:t>
      </w:r>
      <w:r>
        <w:rPr>
          <w:b/>
          <w:bCs/>
          <w:i/>
          <w:iCs/>
          <w:sz w:val="22"/>
          <w:szCs w:val="22"/>
        </w:rPr>
        <w:t xml:space="preserve"> </w:t>
      </w:r>
      <w:commentRangeEnd w:id="0"/>
      <w:r>
        <w:rPr>
          <w:rStyle w:val="ReferensiKomentar"/>
          <w:sz w:val="22"/>
          <w:szCs w:val="22"/>
        </w:rPr>
        <w:commentReference w:id="0"/>
      </w:r>
      <w:r>
        <w:rPr>
          <w:sz w:val="22"/>
          <w:szCs w:val="22"/>
        </w:rPr>
        <w:t xml:space="preserve">High rates of occupational traffic accidents consistently threaten workforce safety, reduce operational efficiency, and increase corporate liability. While digital fleet management systems are common, they frequently prioritize logistics over active hazard prevention. Mitigating these risks requires multidimensional, technology-driven safety interventions. </w:t>
      </w:r>
      <w:r>
        <w:rPr>
          <w:b/>
          <w:bCs/>
          <w:sz w:val="22"/>
          <w:szCs w:val="22"/>
        </w:rPr>
        <w:t>Objectives:</w:t>
      </w:r>
      <w:r>
        <w:rPr>
          <w:sz w:val="22"/>
          <w:szCs w:val="22"/>
        </w:rPr>
        <w:t xml:space="preserve"> This study evaluates and prioritizes the functional requirements for developing a proactive safety driving application, aligning technological implementation with Sustainable Development Goals 3, 8, and 9. </w:t>
      </w:r>
      <w:r>
        <w:rPr>
          <w:b/>
          <w:bCs/>
          <w:sz w:val="22"/>
          <w:szCs w:val="22"/>
        </w:rPr>
        <w:t>Methods:</w:t>
      </w:r>
      <w:r>
        <w:rPr>
          <w:sz w:val="22"/>
          <w:szCs w:val="22"/>
        </w:rPr>
        <w:t xml:space="preserve"> The Analytic Hierarchy Process was utilized to structure the decision model using pairwise comparisons from an expert panel in occupational safety, software engineering, and fleet operations. Four criteria including Safety Impact, Technical Feasibility, Usability, and Regulatory Compatibility were assessed to rank four proposed features: PPE Compliance Check, GPS Tracking, Emergency Reporting, and Health Check. </w:t>
      </w:r>
      <w:r>
        <w:rPr>
          <w:b/>
          <w:bCs/>
          <w:sz w:val="22"/>
          <w:szCs w:val="22"/>
        </w:rPr>
        <w:t>Findings:</w:t>
      </w:r>
      <w:r>
        <w:rPr>
          <w:sz w:val="22"/>
          <w:szCs w:val="22"/>
        </w:rPr>
        <w:t xml:space="preserve"> The PPE Compliance Check secured the highest global weight, driven by its substantial contribution to risk reduction and legal compliance. Experts noted it transforms standard administrative policy into an active engineering control. GPS Tracking ranked second owing to its established technical feasibility, followed closely by Emergency Reporting. Relying on subjective data, the manual Health Check scored the lowest across all dimensions due to self-reporting bias. Sensitivity analyses confirmed a highly robust priority ranking with a consistency ratio below 0.10. Consequently, automated PPE verification should serve as the core foundation of the development roadmap. Future research should integrate objective field performance data to further validate these strategic priorities. </w:t>
      </w:r>
    </w:p>
    <w:p w14:paraId="328D1C08" w14:textId="77777777" w:rsidR="00434167" w:rsidRDefault="00434167">
      <w:pPr>
        <w:widowControl/>
        <w:pBdr>
          <w:top w:val="nil"/>
          <w:left w:val="nil"/>
          <w:bottom w:val="nil"/>
          <w:right w:val="nil"/>
          <w:between w:val="nil"/>
        </w:pBdr>
        <w:ind w:right="567"/>
        <w:jc w:val="both"/>
        <w:rPr>
          <w:color w:val="000000"/>
          <w:sz w:val="22"/>
          <w:szCs w:val="22"/>
        </w:rPr>
      </w:pPr>
    </w:p>
    <w:p w14:paraId="6A793DB0" w14:textId="270B7D05" w:rsidR="00434167" w:rsidRDefault="006F021E">
      <w:pPr>
        <w:widowControl/>
        <w:pBdr>
          <w:top w:val="nil"/>
          <w:left w:val="nil"/>
          <w:bottom w:val="nil"/>
          <w:right w:val="nil"/>
          <w:between w:val="nil"/>
        </w:pBdr>
        <w:ind w:right="567"/>
        <w:jc w:val="both"/>
        <w:rPr>
          <w:color w:val="000000"/>
          <w:sz w:val="22"/>
          <w:szCs w:val="22"/>
        </w:rPr>
      </w:pPr>
      <w:r>
        <w:rPr>
          <w:b/>
          <w:bCs/>
          <w:i/>
          <w:iCs/>
          <w:color w:val="000000"/>
          <w:sz w:val="22"/>
          <w:szCs w:val="22"/>
        </w:rPr>
        <w:t>Keywords</w:t>
      </w:r>
      <w:r>
        <w:rPr>
          <w:b/>
          <w:bCs/>
          <w:color w:val="4F81BD"/>
          <w:sz w:val="22"/>
          <w:szCs w:val="22"/>
        </w:rPr>
        <w:t>:</w:t>
      </w:r>
      <w:r>
        <w:rPr>
          <w:i/>
          <w:iCs/>
          <w:color w:val="000000"/>
          <w:sz w:val="22"/>
          <w:szCs w:val="22"/>
        </w:rPr>
        <w:t xml:space="preserve"> </w:t>
      </w:r>
      <w:r w:rsidR="00971C5E" w:rsidRPr="00971C5E">
        <w:rPr>
          <w:color w:val="000000"/>
          <w:sz w:val="22"/>
          <w:szCs w:val="22"/>
        </w:rPr>
        <w:t>Analytic Hierarchy Process, Occupational Safety, Fleet Management, Feature Prioritization, Mobile Application</w:t>
      </w:r>
    </w:p>
    <w:p w14:paraId="6D8F6A9F" w14:textId="77777777" w:rsidR="00434167" w:rsidRDefault="00434167">
      <w:pPr>
        <w:widowControl/>
        <w:pBdr>
          <w:top w:val="nil"/>
          <w:left w:val="nil"/>
          <w:bottom w:val="nil"/>
          <w:right w:val="nil"/>
          <w:between w:val="nil"/>
        </w:pBdr>
        <w:jc w:val="both"/>
        <w:rPr>
          <w:b/>
          <w:bCs/>
          <w:color w:val="000000"/>
        </w:rPr>
      </w:pPr>
    </w:p>
    <w:p w14:paraId="31FA3CB7" w14:textId="51824FEE" w:rsidR="00434167" w:rsidRDefault="006F021E">
      <w:pPr>
        <w:widowControl/>
        <w:numPr>
          <w:ilvl w:val="0"/>
          <w:numId w:val="1"/>
        </w:numPr>
        <w:pBdr>
          <w:top w:val="nil"/>
          <w:left w:val="nil"/>
          <w:bottom w:val="nil"/>
          <w:right w:val="nil"/>
          <w:between w:val="nil"/>
        </w:pBdr>
        <w:ind w:left="284" w:hanging="284"/>
        <w:jc w:val="both"/>
        <w:rPr>
          <w:b/>
          <w:bCs/>
          <w:color w:val="000000"/>
        </w:rPr>
      </w:pPr>
      <w:commentRangeStart w:id="1"/>
      <w:r>
        <w:rPr>
          <w:b/>
          <w:bCs/>
          <w:color w:val="000000"/>
        </w:rPr>
        <w:t>INTRODUCTION</w:t>
      </w:r>
      <w:commentRangeEnd w:id="1"/>
      <w:r w:rsidR="00971C5E">
        <w:rPr>
          <w:rStyle w:val="ReferensiKomentar"/>
          <w:b/>
          <w:bCs/>
          <w:color w:val="000000"/>
          <w:sz w:val="24"/>
          <w:szCs w:val="24"/>
        </w:rPr>
        <w:commentReference w:id="1"/>
      </w:r>
    </w:p>
    <w:p w14:paraId="5CC489F0" w14:textId="61BE6880" w:rsidR="00434167" w:rsidRPr="00346375" w:rsidRDefault="00FC23E9" w:rsidP="00346375">
      <w:pPr>
        <w:spacing w:after="240"/>
        <w:jc w:val="both"/>
      </w:pPr>
      <w:r w:rsidRPr="00FC23E9">
        <w:t>Road traffic injuries are a leading cause of work-related fatalities, historically managed through reactive measures. Today, smartphones and AI enable proactive enforcement; computer vision can detect PPE non-compliance with &gt;95% accuracy (Lo et al., 2023), and wearables can quantify fatigue with &gt;85% accuracy (Jiao et al., 2024). However, integrating these technologies into fleet operations requires deliberate feature prioritization. The Analytic Hierarchy Process (AHP) is a structured method for evaluating complex multicriteria decisions (Saaty &amp; Katz, 1990). While widely applied across diverse sectors including supply chain, software selection, and smart campuses (Chaube et al., 2024; Fitri et al., 2025; Gupta et al., 2017; Singh, 2013; Zaidan et al., 2015), its application in occupational safety mobile apps remains uncommon.</w:t>
      </w:r>
      <w:r w:rsidRPr="00FC23E9">
        <w:t xml:space="preserve"> </w:t>
      </w:r>
      <w:r w:rsidRPr="00FC23E9">
        <w:t>Existing fleet management studies often reduce feature selection to technical or cost considerations, ignoring the critical balance of field safety, technical constraints, usability, and regulatory compliance. This study addresses this gap by utilizing AHP to prioritize four features for the Drivety app: PPE Compliance Check, GPS Tracking, Health Check, and Emergency Reporting. By synthesizing expert judgments and validating them through sensitivity analyses, this research provides a data-driven development roadmap.</w:t>
      </w:r>
    </w:p>
    <w:p w14:paraId="7AECAF20" w14:textId="77777777" w:rsidR="00434167" w:rsidRDefault="006F021E">
      <w:pPr>
        <w:widowControl/>
        <w:numPr>
          <w:ilvl w:val="0"/>
          <w:numId w:val="1"/>
        </w:numPr>
        <w:pBdr>
          <w:top w:val="nil"/>
          <w:left w:val="nil"/>
          <w:bottom w:val="nil"/>
          <w:right w:val="nil"/>
          <w:between w:val="nil"/>
        </w:pBdr>
        <w:ind w:left="284" w:hanging="284"/>
        <w:jc w:val="both"/>
        <w:rPr>
          <w:b/>
          <w:bCs/>
          <w:color w:val="000000"/>
        </w:rPr>
      </w:pPr>
      <w:commentRangeStart w:id="2"/>
      <w:r>
        <w:rPr>
          <w:b/>
          <w:bCs/>
          <w:color w:val="000000"/>
        </w:rPr>
        <w:lastRenderedPageBreak/>
        <w:t>METHODOLOGY</w:t>
      </w:r>
      <w:commentRangeEnd w:id="2"/>
      <w:r>
        <w:rPr>
          <w:rStyle w:val="ReferensiKomentar"/>
          <w:b/>
          <w:bCs/>
          <w:color w:val="000000"/>
          <w:sz w:val="24"/>
          <w:szCs w:val="24"/>
        </w:rPr>
        <w:commentReference w:id="2"/>
      </w:r>
    </w:p>
    <w:p w14:paraId="650750E4" w14:textId="77777777" w:rsidR="00434167" w:rsidRDefault="00434167">
      <w:pPr>
        <w:widowControl/>
        <w:pBdr>
          <w:top w:val="nil"/>
          <w:left w:val="nil"/>
          <w:bottom w:val="nil"/>
          <w:right w:val="nil"/>
          <w:between w:val="nil"/>
        </w:pBdr>
        <w:jc w:val="both"/>
        <w:rPr>
          <w:b/>
          <w:bCs/>
          <w:color w:val="000000"/>
        </w:rPr>
      </w:pPr>
    </w:p>
    <w:p w14:paraId="64B714D1" w14:textId="77777777" w:rsidR="00434167" w:rsidRDefault="006F021E">
      <w:pPr>
        <w:widowControl/>
        <w:numPr>
          <w:ilvl w:val="1"/>
          <w:numId w:val="1"/>
        </w:numPr>
        <w:pBdr>
          <w:top w:val="nil"/>
          <w:left w:val="nil"/>
          <w:bottom w:val="nil"/>
          <w:right w:val="nil"/>
          <w:between w:val="nil"/>
        </w:pBdr>
        <w:ind w:left="426" w:hanging="426"/>
        <w:jc w:val="both"/>
        <w:rPr>
          <w:color w:val="000000"/>
        </w:rPr>
      </w:pPr>
      <w:r>
        <w:rPr>
          <w:b/>
          <w:bCs/>
          <w:color w:val="000000"/>
        </w:rPr>
        <w:t>Decision Hierarchy</w:t>
      </w:r>
    </w:p>
    <w:p w14:paraId="7FE4A05F" w14:textId="1FBA3464" w:rsidR="00346375" w:rsidRPr="00346375" w:rsidRDefault="00346375" w:rsidP="00346375">
      <w:pPr>
        <w:widowControl/>
        <w:spacing w:after="200"/>
        <w:jc w:val="both"/>
        <w:rPr>
          <w:lang w:val="id-ID"/>
        </w:rPr>
      </w:pPr>
      <w:r w:rsidRPr="00346375">
        <w:rPr>
          <w:lang w:val="id-ID"/>
        </w:rPr>
        <w:t xml:space="preserve">The AHP hierarchy for this study has three levels. At the top sits a single goal: select the safety feature with the highest impact that is also realistic for near-term development. The second level contains four evaluation criteria: Safety Impact (SI) covers the feature's potential to reduce accident frequency and severity; Technical Feasibility (TF) reflects how readily the feature can be built and integrated given available hardware and software constraints; Usability (US) addresses how much cognitive or physical burden the feature places on drivers during operation; and Regulatory Compatibility (RC) examines alignment with occupational safety standards, including ISO 39001:2012 and Indonesia's SMK3 system under PP No. 50/2012. The four alternatives at the bottom level are PPE Compliance Check, GPS Tracking, Health Check, and Emergency Reporting. </w:t>
      </w:r>
    </w:p>
    <w:p w14:paraId="033EAA0C" w14:textId="77777777" w:rsidR="00434167" w:rsidRDefault="006F021E">
      <w:pPr>
        <w:widowControl/>
        <w:numPr>
          <w:ilvl w:val="1"/>
          <w:numId w:val="1"/>
        </w:numPr>
        <w:pBdr>
          <w:top w:val="nil"/>
          <w:left w:val="nil"/>
          <w:bottom w:val="nil"/>
          <w:right w:val="nil"/>
          <w:between w:val="nil"/>
        </w:pBdr>
        <w:ind w:left="426" w:hanging="426"/>
        <w:jc w:val="both"/>
        <w:rPr>
          <w:b/>
          <w:bCs/>
        </w:rPr>
      </w:pPr>
      <w:r>
        <w:rPr>
          <w:b/>
          <w:bCs/>
        </w:rPr>
        <w:t xml:space="preserve">Expert Panel and Elicitation </w:t>
      </w:r>
    </w:p>
    <w:p w14:paraId="397F7D42" w14:textId="60BBE7F1" w:rsidR="00434167" w:rsidRDefault="006F021E" w:rsidP="00346375">
      <w:pPr>
        <w:widowControl/>
        <w:spacing w:after="160"/>
        <w:jc w:val="both"/>
      </w:pPr>
      <w:r>
        <w:t>Three experts participated, each selected on the basis of direct decision-making responsibility in their domain and at least seven years of relevant professional experience. Expert 1 is a Safety Officer with 10 to 15 years in fleet OHS auditing and incident investigation. Expert 2 is a Computer Vision and mobile software engineer (7 to 12 years) specializing in on-device machine learning. Expert 3 is a Product and Fleet Manager (8 to 12 years) responsible for feature planning, compliance, and fleet operations. Each expert completed a separate set of pairwise comparison matrices using the Saaty 1 to 9 scale</w:t>
      </w:r>
      <w:r w:rsidR="00FC23E9">
        <w:t xml:space="preserve"> (Saaty, 1987)</w:t>
      </w:r>
      <w:r>
        <w:t>, covering the criteria matrix and four alternative matrices (one per criterion). Elicitation was conducted asynchronously to prevent anchoring effects.</w:t>
      </w:r>
    </w:p>
    <w:p w14:paraId="6AF51548" w14:textId="4BF6D75F" w:rsidR="00434167" w:rsidRDefault="006F021E">
      <w:pPr>
        <w:widowControl/>
        <w:numPr>
          <w:ilvl w:val="1"/>
          <w:numId w:val="1"/>
        </w:numPr>
        <w:pBdr>
          <w:top w:val="nil"/>
          <w:left w:val="nil"/>
          <w:bottom w:val="nil"/>
          <w:right w:val="nil"/>
          <w:between w:val="nil"/>
        </w:pBdr>
        <w:ind w:left="426" w:hanging="426"/>
        <w:jc w:val="both"/>
        <w:rPr>
          <w:b/>
          <w:bCs/>
        </w:rPr>
      </w:pPr>
      <w:r>
        <w:rPr>
          <w:b/>
          <w:bCs/>
        </w:rPr>
        <w:t xml:space="preserve">Aggregation and </w:t>
      </w:r>
      <w:r w:rsidR="00BF19FB">
        <w:rPr>
          <w:b/>
          <w:bCs/>
        </w:rPr>
        <w:t>Validation</w:t>
      </w:r>
      <w:r>
        <w:rPr>
          <w:b/>
          <w:bCs/>
        </w:rPr>
        <w:t xml:space="preserve"> </w:t>
      </w:r>
    </w:p>
    <w:p w14:paraId="60B239FB" w14:textId="57B13266" w:rsidR="00434167" w:rsidRPr="00BF19FB" w:rsidRDefault="00BF19FB" w:rsidP="00BF19FB">
      <w:pPr>
        <w:widowControl/>
        <w:spacing w:after="160"/>
        <w:jc w:val="both"/>
      </w:pPr>
      <w:r w:rsidRPr="00BF19FB">
        <w:t>Individual judgments were aggregated using the Aggregated Individual Judgments (AIJ) method, with the Aggregation of Individual Priorities (AIP) calculated in parallel as a robustness check (Ranjbar &amp; Effati, 2023). Consistency was evaluated using the Consistency Ratio with a 0.10 threshold (CR &lt; 0.10). Furthermore, following Więckowski and Sałabun (2023), model stability was comprehensively assessed using a one-way test (±10% criterion weight perturbation) and dynamic testing to identify exact rank inversion thresholds. The entire analysis was conducted in R.</w:t>
      </w:r>
    </w:p>
    <w:p w14:paraId="30673863" w14:textId="77777777" w:rsidR="00434167" w:rsidRDefault="006F021E">
      <w:pPr>
        <w:widowControl/>
        <w:numPr>
          <w:ilvl w:val="0"/>
          <w:numId w:val="1"/>
        </w:numPr>
        <w:pBdr>
          <w:top w:val="nil"/>
          <w:left w:val="nil"/>
          <w:bottom w:val="nil"/>
          <w:right w:val="nil"/>
          <w:between w:val="nil"/>
        </w:pBdr>
        <w:spacing w:after="200"/>
        <w:ind w:left="284" w:hanging="284"/>
        <w:jc w:val="both"/>
        <w:rPr>
          <w:b/>
          <w:bCs/>
          <w:color w:val="000000"/>
        </w:rPr>
      </w:pPr>
      <w:commentRangeStart w:id="3"/>
      <w:r>
        <w:rPr>
          <w:b/>
          <w:bCs/>
          <w:color w:val="000000"/>
        </w:rPr>
        <w:t>RESULTS &amp; DISCUSSION</w:t>
      </w:r>
      <w:commentRangeEnd w:id="3"/>
      <w:r>
        <w:rPr>
          <w:rStyle w:val="ReferensiKomentar"/>
          <w:b/>
          <w:bCs/>
          <w:color w:val="000000"/>
          <w:sz w:val="24"/>
          <w:szCs w:val="24"/>
        </w:rPr>
        <w:commentReference w:id="3"/>
      </w:r>
    </w:p>
    <w:p w14:paraId="02EAFE84" w14:textId="77777777" w:rsidR="00434167" w:rsidRDefault="006F021E">
      <w:pPr>
        <w:widowControl/>
        <w:pBdr>
          <w:top w:val="nil"/>
          <w:left w:val="nil"/>
          <w:bottom w:val="nil"/>
          <w:right w:val="nil"/>
          <w:between w:val="nil"/>
        </w:pBdr>
        <w:jc w:val="both"/>
        <w:rPr>
          <w:b/>
          <w:bCs/>
          <w:color w:val="000000"/>
        </w:rPr>
      </w:pPr>
      <w:r>
        <w:rPr>
          <w:b/>
          <w:bCs/>
          <w:color w:val="000000"/>
        </w:rPr>
        <w:t xml:space="preserve">3.1 </w:t>
      </w:r>
      <w:r>
        <w:rPr>
          <w:b/>
          <w:bCs/>
        </w:rPr>
        <w:t>Consistency Diagnostic</w:t>
      </w:r>
    </w:p>
    <w:p w14:paraId="74B7F2A4" w14:textId="6FE902A6" w:rsidR="00434167" w:rsidRPr="005A64FB" w:rsidRDefault="00BF19FB">
      <w:pPr>
        <w:widowControl/>
        <w:jc w:val="both"/>
        <w:rPr>
          <w:bCs/>
        </w:rPr>
      </w:pPr>
      <w:r w:rsidRPr="00BF19FB">
        <w:rPr>
          <w:bCs/>
        </w:rPr>
        <w:t>Nearly all individual expert matrices met the acceptable Consistency Ratio threshold (CR &lt; 0.10). While Expert 3 produced two marginal exceedances (CR = 0.102) , these resolved perfectly after Group-AIJ aggregation. The final combined matrices demonstrated strong consistency with CR values ranging strictly from 0.019 to 0.084 , providing a valid and reliable basis for global priority computation.</w:t>
      </w:r>
    </w:p>
    <w:p w14:paraId="0B8675BC" w14:textId="77777777" w:rsidR="00434167" w:rsidRDefault="006F021E" w:rsidP="00BF19FB">
      <w:pPr>
        <w:widowControl/>
        <w:spacing w:before="180"/>
        <w:jc w:val="both"/>
        <w:rPr>
          <w:b/>
          <w:bCs/>
        </w:rPr>
      </w:pPr>
      <w:r>
        <w:rPr>
          <w:b/>
          <w:bCs/>
        </w:rPr>
        <w:t>3.2 Criteria Weights</w:t>
      </w:r>
    </w:p>
    <w:p w14:paraId="405F64BE" w14:textId="77777777" w:rsidR="00434167" w:rsidRDefault="006F021E">
      <w:pPr>
        <w:widowControl/>
        <w:spacing w:after="160"/>
        <w:jc w:val="both"/>
      </w:pPr>
      <w:r>
        <w:t>Safety Impact emerged as the dominant criterion with a Group-AIJ weight of 0.428. Experts 1 and 3 both assigned it weights above 0.50, while Expert 2, coming from a software engineering background, weighed Technical Feasibility higher (0.495). Despite this divergence, the group aggregation preserved Safety Impact at the top, with Technical Feasibility (0.231) and Regulatory Compatibility (0.229) occupying a closely matched middle tier. Usability received the lowest weight at 0.112. The AIP aggregation produced the same ordering, with values differing by no more than 0.03 from the AIJ results.</w:t>
      </w:r>
    </w:p>
    <w:p w14:paraId="26A8B6C0" w14:textId="77777777" w:rsidR="00434167" w:rsidRDefault="006F021E" w:rsidP="00BF19FB">
      <w:pPr>
        <w:widowControl/>
        <w:spacing w:before="180"/>
        <w:jc w:val="both"/>
        <w:rPr>
          <w:b/>
          <w:bCs/>
        </w:rPr>
      </w:pPr>
      <w:r>
        <w:rPr>
          <w:b/>
          <w:bCs/>
        </w:rPr>
        <w:lastRenderedPageBreak/>
        <w:t>3.3 Global Feature Priorities</w:t>
      </w:r>
    </w:p>
    <w:p w14:paraId="3177A28B" w14:textId="77777777" w:rsidR="00434167" w:rsidRDefault="006F021E">
      <w:pPr>
        <w:widowControl/>
        <w:spacing w:after="160"/>
        <w:jc w:val="both"/>
      </w:pPr>
      <w:r>
        <w:t>Global weights were computed by multiplying each feature's local priority under each criterion by the corresponding criterion weight and summing across criteria. Results are shown in Table 2 and visualized in Figure 2.</w:t>
      </w:r>
    </w:p>
    <w:p w14:paraId="792E90E6" w14:textId="0C01FB7F" w:rsidR="00434167" w:rsidRDefault="006F021E" w:rsidP="00D65A38">
      <w:pPr>
        <w:widowControl/>
        <w:spacing w:before="80" w:after="80"/>
        <w:jc w:val="center"/>
      </w:pPr>
      <w:r>
        <w:rPr>
          <w:b/>
          <w:bCs/>
        </w:rPr>
        <w:t xml:space="preserve">Table 2: </w:t>
      </w:r>
      <w:r>
        <w:t>Global weights and rankings under Group-AIJ and AIP</w:t>
      </w:r>
      <w:r w:rsidR="00D65A38">
        <w:t xml:space="preserve"> </w:t>
      </w:r>
      <w:r>
        <w:t>aggregation</w:t>
      </w:r>
    </w:p>
    <w:tbl>
      <w:tblPr>
        <w:tblStyle w:val="a0"/>
        <w:tblW w:w="82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05"/>
        <w:gridCol w:w="1395"/>
        <w:gridCol w:w="1365"/>
        <w:gridCol w:w="1365"/>
        <w:gridCol w:w="1365"/>
      </w:tblGrid>
      <w:tr w:rsidR="00434167" w14:paraId="4CFD06AC" w14:textId="77777777">
        <w:trPr>
          <w:trHeight w:val="375"/>
        </w:trPr>
        <w:tc>
          <w:tcPr>
            <w:tcW w:w="2805" w:type="dxa"/>
            <w:tcBorders>
              <w:top w:val="single" w:sz="8" w:space="0" w:color="000000"/>
              <w:left w:val="nil"/>
              <w:bottom w:val="single" w:sz="8" w:space="0" w:color="000000"/>
              <w:right w:val="nil"/>
            </w:tcBorders>
            <w:tcMar>
              <w:top w:w="60" w:type="dxa"/>
              <w:left w:w="100" w:type="dxa"/>
              <w:bottom w:w="60" w:type="dxa"/>
              <w:right w:w="100" w:type="dxa"/>
            </w:tcMar>
          </w:tcPr>
          <w:p w14:paraId="0A79CE5B" w14:textId="77777777" w:rsidR="00434167" w:rsidRDefault="006F021E">
            <w:pPr>
              <w:widowControl/>
              <w:jc w:val="center"/>
              <w:rPr>
                <w:b/>
                <w:bCs/>
                <w:sz w:val="20"/>
                <w:szCs w:val="20"/>
              </w:rPr>
            </w:pPr>
            <w:r>
              <w:rPr>
                <w:b/>
                <w:bCs/>
                <w:sz w:val="20"/>
                <w:szCs w:val="20"/>
              </w:rPr>
              <w:t>Feature</w:t>
            </w:r>
          </w:p>
        </w:tc>
        <w:tc>
          <w:tcPr>
            <w:tcW w:w="1395" w:type="dxa"/>
            <w:tcBorders>
              <w:top w:val="single" w:sz="8" w:space="0" w:color="000000"/>
              <w:left w:val="nil"/>
              <w:bottom w:val="single" w:sz="8" w:space="0" w:color="000000"/>
              <w:right w:val="nil"/>
            </w:tcBorders>
            <w:tcMar>
              <w:top w:w="60" w:type="dxa"/>
              <w:left w:w="100" w:type="dxa"/>
              <w:bottom w:w="60" w:type="dxa"/>
              <w:right w:w="100" w:type="dxa"/>
            </w:tcMar>
          </w:tcPr>
          <w:p w14:paraId="7DEE23D7" w14:textId="77777777" w:rsidR="00434167" w:rsidRDefault="006F021E">
            <w:pPr>
              <w:widowControl/>
              <w:jc w:val="center"/>
              <w:rPr>
                <w:b/>
                <w:bCs/>
                <w:sz w:val="20"/>
                <w:szCs w:val="20"/>
              </w:rPr>
            </w:pPr>
            <w:r>
              <w:rPr>
                <w:b/>
                <w:bCs/>
                <w:sz w:val="20"/>
                <w:szCs w:val="20"/>
              </w:rPr>
              <w:t>Group-AIJ</w:t>
            </w:r>
          </w:p>
        </w:tc>
        <w:tc>
          <w:tcPr>
            <w:tcW w:w="1365" w:type="dxa"/>
            <w:tcBorders>
              <w:top w:val="single" w:sz="8" w:space="0" w:color="000000"/>
              <w:left w:val="nil"/>
              <w:bottom w:val="single" w:sz="8" w:space="0" w:color="000000"/>
              <w:right w:val="nil"/>
            </w:tcBorders>
            <w:tcMar>
              <w:top w:w="60" w:type="dxa"/>
              <w:left w:w="100" w:type="dxa"/>
              <w:bottom w:w="60" w:type="dxa"/>
              <w:right w:w="100" w:type="dxa"/>
            </w:tcMar>
          </w:tcPr>
          <w:p w14:paraId="33E1E472" w14:textId="77777777" w:rsidR="00434167" w:rsidRDefault="006F021E">
            <w:pPr>
              <w:widowControl/>
              <w:jc w:val="center"/>
              <w:rPr>
                <w:b/>
                <w:bCs/>
                <w:sz w:val="20"/>
                <w:szCs w:val="20"/>
              </w:rPr>
            </w:pPr>
            <w:r>
              <w:rPr>
                <w:b/>
                <w:bCs/>
                <w:sz w:val="20"/>
                <w:szCs w:val="20"/>
              </w:rPr>
              <w:t>AIP</w:t>
            </w:r>
          </w:p>
        </w:tc>
        <w:tc>
          <w:tcPr>
            <w:tcW w:w="1365" w:type="dxa"/>
            <w:tcBorders>
              <w:top w:val="single" w:sz="8" w:space="0" w:color="000000"/>
              <w:left w:val="nil"/>
              <w:bottom w:val="single" w:sz="8" w:space="0" w:color="000000"/>
              <w:right w:val="nil"/>
            </w:tcBorders>
            <w:tcMar>
              <w:top w:w="60" w:type="dxa"/>
              <w:left w:w="100" w:type="dxa"/>
              <w:bottom w:w="60" w:type="dxa"/>
              <w:right w:w="100" w:type="dxa"/>
            </w:tcMar>
          </w:tcPr>
          <w:p w14:paraId="7C05AE45" w14:textId="77777777" w:rsidR="00434167" w:rsidRDefault="006F021E">
            <w:pPr>
              <w:widowControl/>
              <w:jc w:val="center"/>
              <w:rPr>
                <w:b/>
                <w:bCs/>
                <w:sz w:val="20"/>
                <w:szCs w:val="20"/>
              </w:rPr>
            </w:pPr>
            <w:r>
              <w:rPr>
                <w:b/>
                <w:bCs/>
                <w:sz w:val="20"/>
                <w:szCs w:val="20"/>
              </w:rPr>
              <w:t>AIJ Rank</w:t>
            </w:r>
          </w:p>
        </w:tc>
        <w:tc>
          <w:tcPr>
            <w:tcW w:w="1365" w:type="dxa"/>
            <w:tcBorders>
              <w:top w:val="single" w:sz="8" w:space="0" w:color="000000"/>
              <w:left w:val="nil"/>
              <w:bottom w:val="single" w:sz="8" w:space="0" w:color="000000"/>
              <w:right w:val="nil"/>
            </w:tcBorders>
            <w:tcMar>
              <w:top w:w="60" w:type="dxa"/>
              <w:left w:w="100" w:type="dxa"/>
              <w:bottom w:w="60" w:type="dxa"/>
              <w:right w:w="100" w:type="dxa"/>
            </w:tcMar>
          </w:tcPr>
          <w:p w14:paraId="00FB8A80" w14:textId="77777777" w:rsidR="00434167" w:rsidRDefault="006F021E">
            <w:pPr>
              <w:widowControl/>
              <w:jc w:val="center"/>
              <w:rPr>
                <w:b/>
                <w:bCs/>
                <w:sz w:val="20"/>
                <w:szCs w:val="20"/>
              </w:rPr>
            </w:pPr>
            <w:r>
              <w:rPr>
                <w:b/>
                <w:bCs/>
                <w:sz w:val="20"/>
                <w:szCs w:val="20"/>
              </w:rPr>
              <w:t>AIP Rank</w:t>
            </w:r>
          </w:p>
        </w:tc>
      </w:tr>
      <w:tr w:rsidR="00434167" w14:paraId="3FFA9270" w14:textId="77777777">
        <w:trPr>
          <w:trHeight w:val="360"/>
        </w:trPr>
        <w:tc>
          <w:tcPr>
            <w:tcW w:w="2805" w:type="dxa"/>
            <w:tcBorders>
              <w:top w:val="nil"/>
              <w:left w:val="nil"/>
              <w:bottom w:val="nil"/>
              <w:right w:val="nil"/>
            </w:tcBorders>
            <w:tcMar>
              <w:top w:w="60" w:type="dxa"/>
              <w:left w:w="100" w:type="dxa"/>
              <w:bottom w:w="60" w:type="dxa"/>
              <w:right w:w="100" w:type="dxa"/>
            </w:tcMar>
          </w:tcPr>
          <w:p w14:paraId="21F5DAD7" w14:textId="77777777" w:rsidR="00434167" w:rsidRDefault="006F021E">
            <w:pPr>
              <w:widowControl/>
              <w:jc w:val="both"/>
              <w:rPr>
                <w:sz w:val="20"/>
                <w:szCs w:val="20"/>
              </w:rPr>
            </w:pPr>
            <w:r>
              <w:rPr>
                <w:sz w:val="20"/>
                <w:szCs w:val="20"/>
              </w:rPr>
              <w:t>PPE Compliance Check</w:t>
            </w:r>
          </w:p>
        </w:tc>
        <w:tc>
          <w:tcPr>
            <w:tcW w:w="1395" w:type="dxa"/>
            <w:tcBorders>
              <w:top w:val="nil"/>
              <w:left w:val="nil"/>
              <w:bottom w:val="nil"/>
              <w:right w:val="nil"/>
            </w:tcBorders>
            <w:tcMar>
              <w:top w:w="60" w:type="dxa"/>
              <w:left w:w="100" w:type="dxa"/>
              <w:bottom w:w="60" w:type="dxa"/>
              <w:right w:w="100" w:type="dxa"/>
            </w:tcMar>
          </w:tcPr>
          <w:p w14:paraId="6FD92DB0" w14:textId="77777777" w:rsidR="00434167" w:rsidRDefault="006F021E">
            <w:pPr>
              <w:widowControl/>
              <w:jc w:val="center"/>
              <w:rPr>
                <w:sz w:val="20"/>
                <w:szCs w:val="20"/>
              </w:rPr>
            </w:pPr>
            <w:r>
              <w:rPr>
                <w:sz w:val="20"/>
                <w:szCs w:val="20"/>
              </w:rPr>
              <w:t>0.449</w:t>
            </w:r>
          </w:p>
        </w:tc>
        <w:tc>
          <w:tcPr>
            <w:tcW w:w="1365" w:type="dxa"/>
            <w:tcBorders>
              <w:top w:val="nil"/>
              <w:left w:val="nil"/>
              <w:bottom w:val="nil"/>
              <w:right w:val="nil"/>
            </w:tcBorders>
            <w:tcMar>
              <w:top w:w="60" w:type="dxa"/>
              <w:left w:w="100" w:type="dxa"/>
              <w:bottom w:w="60" w:type="dxa"/>
              <w:right w:w="100" w:type="dxa"/>
            </w:tcMar>
          </w:tcPr>
          <w:p w14:paraId="79BAB2FE" w14:textId="77777777" w:rsidR="00434167" w:rsidRDefault="006F021E">
            <w:pPr>
              <w:widowControl/>
              <w:jc w:val="center"/>
              <w:rPr>
                <w:sz w:val="20"/>
                <w:szCs w:val="20"/>
              </w:rPr>
            </w:pPr>
            <w:r>
              <w:rPr>
                <w:sz w:val="20"/>
                <w:szCs w:val="20"/>
              </w:rPr>
              <w:t>0.442</w:t>
            </w:r>
          </w:p>
        </w:tc>
        <w:tc>
          <w:tcPr>
            <w:tcW w:w="1365" w:type="dxa"/>
            <w:tcBorders>
              <w:top w:val="nil"/>
              <w:left w:val="nil"/>
              <w:bottom w:val="nil"/>
              <w:right w:val="nil"/>
            </w:tcBorders>
            <w:tcMar>
              <w:top w:w="60" w:type="dxa"/>
              <w:left w:w="100" w:type="dxa"/>
              <w:bottom w:w="60" w:type="dxa"/>
              <w:right w:w="100" w:type="dxa"/>
            </w:tcMar>
          </w:tcPr>
          <w:p w14:paraId="0A71B66F" w14:textId="77777777" w:rsidR="00434167" w:rsidRDefault="006F021E">
            <w:pPr>
              <w:widowControl/>
              <w:jc w:val="center"/>
              <w:rPr>
                <w:sz w:val="20"/>
                <w:szCs w:val="20"/>
              </w:rPr>
            </w:pPr>
            <w:r>
              <w:rPr>
                <w:sz w:val="20"/>
                <w:szCs w:val="20"/>
              </w:rPr>
              <w:t>1</w:t>
            </w:r>
          </w:p>
        </w:tc>
        <w:tc>
          <w:tcPr>
            <w:tcW w:w="1365" w:type="dxa"/>
            <w:tcBorders>
              <w:top w:val="nil"/>
              <w:left w:val="nil"/>
              <w:bottom w:val="nil"/>
              <w:right w:val="nil"/>
            </w:tcBorders>
            <w:tcMar>
              <w:top w:w="60" w:type="dxa"/>
              <w:left w:w="100" w:type="dxa"/>
              <w:bottom w:w="60" w:type="dxa"/>
              <w:right w:w="100" w:type="dxa"/>
            </w:tcMar>
          </w:tcPr>
          <w:p w14:paraId="4770730D" w14:textId="77777777" w:rsidR="00434167" w:rsidRDefault="006F021E">
            <w:pPr>
              <w:widowControl/>
              <w:jc w:val="center"/>
              <w:rPr>
                <w:sz w:val="20"/>
                <w:szCs w:val="20"/>
              </w:rPr>
            </w:pPr>
            <w:r>
              <w:rPr>
                <w:sz w:val="20"/>
                <w:szCs w:val="20"/>
              </w:rPr>
              <w:t>1</w:t>
            </w:r>
          </w:p>
        </w:tc>
      </w:tr>
      <w:tr w:rsidR="00434167" w14:paraId="3A3B4B4E" w14:textId="77777777">
        <w:trPr>
          <w:trHeight w:val="345"/>
        </w:trPr>
        <w:tc>
          <w:tcPr>
            <w:tcW w:w="2805" w:type="dxa"/>
            <w:tcBorders>
              <w:top w:val="nil"/>
              <w:left w:val="nil"/>
              <w:bottom w:val="nil"/>
              <w:right w:val="nil"/>
            </w:tcBorders>
            <w:tcMar>
              <w:top w:w="60" w:type="dxa"/>
              <w:left w:w="100" w:type="dxa"/>
              <w:bottom w:w="60" w:type="dxa"/>
              <w:right w:w="100" w:type="dxa"/>
            </w:tcMar>
          </w:tcPr>
          <w:p w14:paraId="0AD0AEEE" w14:textId="77777777" w:rsidR="00434167" w:rsidRDefault="006F021E">
            <w:pPr>
              <w:widowControl/>
              <w:jc w:val="both"/>
              <w:rPr>
                <w:sz w:val="20"/>
                <w:szCs w:val="20"/>
              </w:rPr>
            </w:pPr>
            <w:r>
              <w:rPr>
                <w:sz w:val="20"/>
                <w:szCs w:val="20"/>
              </w:rPr>
              <w:t>GPS Tracking</w:t>
            </w:r>
          </w:p>
        </w:tc>
        <w:tc>
          <w:tcPr>
            <w:tcW w:w="1395" w:type="dxa"/>
            <w:tcBorders>
              <w:top w:val="nil"/>
              <w:left w:val="nil"/>
              <w:bottom w:val="nil"/>
              <w:right w:val="nil"/>
            </w:tcBorders>
            <w:tcMar>
              <w:top w:w="60" w:type="dxa"/>
              <w:left w:w="100" w:type="dxa"/>
              <w:bottom w:w="60" w:type="dxa"/>
              <w:right w:w="100" w:type="dxa"/>
            </w:tcMar>
          </w:tcPr>
          <w:p w14:paraId="02D38495" w14:textId="77777777" w:rsidR="00434167" w:rsidRDefault="006F021E">
            <w:pPr>
              <w:widowControl/>
              <w:jc w:val="center"/>
              <w:rPr>
                <w:sz w:val="20"/>
                <w:szCs w:val="20"/>
              </w:rPr>
            </w:pPr>
            <w:r>
              <w:rPr>
                <w:sz w:val="20"/>
                <w:szCs w:val="20"/>
              </w:rPr>
              <w:t>0.263</w:t>
            </w:r>
          </w:p>
        </w:tc>
        <w:tc>
          <w:tcPr>
            <w:tcW w:w="1365" w:type="dxa"/>
            <w:tcBorders>
              <w:top w:val="nil"/>
              <w:left w:val="nil"/>
              <w:bottom w:val="nil"/>
              <w:right w:val="nil"/>
            </w:tcBorders>
            <w:tcMar>
              <w:top w:w="60" w:type="dxa"/>
              <w:left w:w="100" w:type="dxa"/>
              <w:bottom w:w="60" w:type="dxa"/>
              <w:right w:w="100" w:type="dxa"/>
            </w:tcMar>
          </w:tcPr>
          <w:p w14:paraId="0791EA60" w14:textId="77777777" w:rsidR="00434167" w:rsidRDefault="006F021E">
            <w:pPr>
              <w:widowControl/>
              <w:jc w:val="center"/>
              <w:rPr>
                <w:sz w:val="20"/>
                <w:szCs w:val="20"/>
              </w:rPr>
            </w:pPr>
            <w:r>
              <w:rPr>
                <w:sz w:val="20"/>
                <w:szCs w:val="20"/>
              </w:rPr>
              <w:t>0.272</w:t>
            </w:r>
          </w:p>
        </w:tc>
        <w:tc>
          <w:tcPr>
            <w:tcW w:w="1365" w:type="dxa"/>
            <w:tcBorders>
              <w:top w:val="nil"/>
              <w:left w:val="nil"/>
              <w:bottom w:val="nil"/>
              <w:right w:val="nil"/>
            </w:tcBorders>
            <w:tcMar>
              <w:top w:w="60" w:type="dxa"/>
              <w:left w:w="100" w:type="dxa"/>
              <w:bottom w:w="60" w:type="dxa"/>
              <w:right w:w="100" w:type="dxa"/>
            </w:tcMar>
          </w:tcPr>
          <w:p w14:paraId="03D918BB" w14:textId="77777777" w:rsidR="00434167" w:rsidRDefault="006F021E">
            <w:pPr>
              <w:widowControl/>
              <w:jc w:val="center"/>
              <w:rPr>
                <w:sz w:val="20"/>
                <w:szCs w:val="20"/>
              </w:rPr>
            </w:pPr>
            <w:r>
              <w:rPr>
                <w:sz w:val="20"/>
                <w:szCs w:val="20"/>
              </w:rPr>
              <w:t>2</w:t>
            </w:r>
          </w:p>
        </w:tc>
        <w:tc>
          <w:tcPr>
            <w:tcW w:w="1365" w:type="dxa"/>
            <w:tcBorders>
              <w:top w:val="nil"/>
              <w:left w:val="nil"/>
              <w:bottom w:val="nil"/>
              <w:right w:val="nil"/>
            </w:tcBorders>
            <w:tcMar>
              <w:top w:w="60" w:type="dxa"/>
              <w:left w:w="100" w:type="dxa"/>
              <w:bottom w:w="60" w:type="dxa"/>
              <w:right w:w="100" w:type="dxa"/>
            </w:tcMar>
          </w:tcPr>
          <w:p w14:paraId="3A967CB7" w14:textId="77777777" w:rsidR="00434167" w:rsidRDefault="006F021E">
            <w:pPr>
              <w:widowControl/>
              <w:jc w:val="center"/>
              <w:rPr>
                <w:sz w:val="20"/>
                <w:szCs w:val="20"/>
              </w:rPr>
            </w:pPr>
            <w:r>
              <w:rPr>
                <w:sz w:val="20"/>
                <w:szCs w:val="20"/>
              </w:rPr>
              <w:t>2</w:t>
            </w:r>
          </w:p>
        </w:tc>
      </w:tr>
      <w:tr w:rsidR="00434167" w14:paraId="10B0B429" w14:textId="77777777">
        <w:trPr>
          <w:trHeight w:val="345"/>
        </w:trPr>
        <w:tc>
          <w:tcPr>
            <w:tcW w:w="2805" w:type="dxa"/>
            <w:tcBorders>
              <w:top w:val="nil"/>
              <w:left w:val="nil"/>
              <w:bottom w:val="nil"/>
              <w:right w:val="nil"/>
            </w:tcBorders>
            <w:tcMar>
              <w:top w:w="60" w:type="dxa"/>
              <w:left w:w="100" w:type="dxa"/>
              <w:bottom w:w="60" w:type="dxa"/>
              <w:right w:w="100" w:type="dxa"/>
            </w:tcMar>
          </w:tcPr>
          <w:p w14:paraId="0FC4C595" w14:textId="77777777" w:rsidR="00434167" w:rsidRDefault="006F021E">
            <w:pPr>
              <w:widowControl/>
              <w:jc w:val="both"/>
              <w:rPr>
                <w:sz w:val="20"/>
                <w:szCs w:val="20"/>
              </w:rPr>
            </w:pPr>
            <w:r>
              <w:rPr>
                <w:sz w:val="20"/>
                <w:szCs w:val="20"/>
              </w:rPr>
              <w:t>Emergency Reporting</w:t>
            </w:r>
          </w:p>
        </w:tc>
        <w:tc>
          <w:tcPr>
            <w:tcW w:w="1395" w:type="dxa"/>
            <w:tcBorders>
              <w:top w:val="nil"/>
              <w:left w:val="nil"/>
              <w:bottom w:val="nil"/>
              <w:right w:val="nil"/>
            </w:tcBorders>
            <w:tcMar>
              <w:top w:w="60" w:type="dxa"/>
              <w:left w:w="100" w:type="dxa"/>
              <w:bottom w:w="60" w:type="dxa"/>
              <w:right w:w="100" w:type="dxa"/>
            </w:tcMar>
          </w:tcPr>
          <w:p w14:paraId="0ADC9B3B" w14:textId="77777777" w:rsidR="00434167" w:rsidRDefault="006F021E">
            <w:pPr>
              <w:widowControl/>
              <w:jc w:val="center"/>
              <w:rPr>
                <w:sz w:val="20"/>
                <w:szCs w:val="20"/>
              </w:rPr>
            </w:pPr>
            <w:r>
              <w:rPr>
                <w:sz w:val="20"/>
                <w:szCs w:val="20"/>
              </w:rPr>
              <w:t>0.229</w:t>
            </w:r>
          </w:p>
        </w:tc>
        <w:tc>
          <w:tcPr>
            <w:tcW w:w="1365" w:type="dxa"/>
            <w:tcBorders>
              <w:top w:val="nil"/>
              <w:left w:val="nil"/>
              <w:bottom w:val="nil"/>
              <w:right w:val="nil"/>
            </w:tcBorders>
            <w:tcMar>
              <w:top w:w="60" w:type="dxa"/>
              <w:left w:w="100" w:type="dxa"/>
              <w:bottom w:w="60" w:type="dxa"/>
              <w:right w:w="100" w:type="dxa"/>
            </w:tcMar>
          </w:tcPr>
          <w:p w14:paraId="4C3BDF74" w14:textId="77777777" w:rsidR="00434167" w:rsidRDefault="006F021E">
            <w:pPr>
              <w:widowControl/>
              <w:jc w:val="center"/>
              <w:rPr>
                <w:sz w:val="20"/>
                <w:szCs w:val="20"/>
              </w:rPr>
            </w:pPr>
            <w:r>
              <w:rPr>
                <w:sz w:val="20"/>
                <w:szCs w:val="20"/>
              </w:rPr>
              <w:t>0.225</w:t>
            </w:r>
          </w:p>
        </w:tc>
        <w:tc>
          <w:tcPr>
            <w:tcW w:w="1365" w:type="dxa"/>
            <w:tcBorders>
              <w:top w:val="nil"/>
              <w:left w:val="nil"/>
              <w:bottom w:val="nil"/>
              <w:right w:val="nil"/>
            </w:tcBorders>
            <w:tcMar>
              <w:top w:w="60" w:type="dxa"/>
              <w:left w:w="100" w:type="dxa"/>
              <w:bottom w:w="60" w:type="dxa"/>
              <w:right w:w="100" w:type="dxa"/>
            </w:tcMar>
          </w:tcPr>
          <w:p w14:paraId="2FF847BF" w14:textId="77777777" w:rsidR="00434167" w:rsidRDefault="006F021E">
            <w:pPr>
              <w:widowControl/>
              <w:jc w:val="center"/>
              <w:rPr>
                <w:sz w:val="20"/>
                <w:szCs w:val="20"/>
              </w:rPr>
            </w:pPr>
            <w:r>
              <w:rPr>
                <w:sz w:val="20"/>
                <w:szCs w:val="20"/>
              </w:rPr>
              <w:t>3</w:t>
            </w:r>
          </w:p>
        </w:tc>
        <w:tc>
          <w:tcPr>
            <w:tcW w:w="1365" w:type="dxa"/>
            <w:tcBorders>
              <w:top w:val="nil"/>
              <w:left w:val="nil"/>
              <w:bottom w:val="nil"/>
              <w:right w:val="nil"/>
            </w:tcBorders>
            <w:tcMar>
              <w:top w:w="60" w:type="dxa"/>
              <w:left w:w="100" w:type="dxa"/>
              <w:bottom w:w="60" w:type="dxa"/>
              <w:right w:w="100" w:type="dxa"/>
            </w:tcMar>
          </w:tcPr>
          <w:p w14:paraId="62E545B9" w14:textId="77777777" w:rsidR="00434167" w:rsidRDefault="006F021E">
            <w:pPr>
              <w:widowControl/>
              <w:jc w:val="center"/>
              <w:rPr>
                <w:sz w:val="20"/>
                <w:szCs w:val="20"/>
              </w:rPr>
            </w:pPr>
            <w:r>
              <w:rPr>
                <w:sz w:val="20"/>
                <w:szCs w:val="20"/>
              </w:rPr>
              <w:t>3</w:t>
            </w:r>
          </w:p>
        </w:tc>
      </w:tr>
      <w:tr w:rsidR="00434167" w14:paraId="7B062E9F" w14:textId="77777777">
        <w:trPr>
          <w:trHeight w:val="360"/>
        </w:trPr>
        <w:tc>
          <w:tcPr>
            <w:tcW w:w="2805" w:type="dxa"/>
            <w:tcBorders>
              <w:top w:val="nil"/>
              <w:left w:val="nil"/>
              <w:bottom w:val="single" w:sz="8" w:space="0" w:color="000000"/>
              <w:right w:val="nil"/>
            </w:tcBorders>
            <w:tcMar>
              <w:top w:w="60" w:type="dxa"/>
              <w:left w:w="100" w:type="dxa"/>
              <w:bottom w:w="60" w:type="dxa"/>
              <w:right w:w="100" w:type="dxa"/>
            </w:tcMar>
          </w:tcPr>
          <w:p w14:paraId="65FC3639" w14:textId="77777777" w:rsidR="00434167" w:rsidRDefault="006F021E">
            <w:pPr>
              <w:widowControl/>
              <w:jc w:val="both"/>
              <w:rPr>
                <w:sz w:val="20"/>
                <w:szCs w:val="20"/>
              </w:rPr>
            </w:pPr>
            <w:r>
              <w:rPr>
                <w:sz w:val="20"/>
                <w:szCs w:val="20"/>
              </w:rPr>
              <w:t>Health Check</w:t>
            </w:r>
          </w:p>
        </w:tc>
        <w:tc>
          <w:tcPr>
            <w:tcW w:w="1395" w:type="dxa"/>
            <w:tcBorders>
              <w:top w:val="nil"/>
              <w:left w:val="nil"/>
              <w:bottom w:val="single" w:sz="8" w:space="0" w:color="000000"/>
              <w:right w:val="nil"/>
            </w:tcBorders>
            <w:tcMar>
              <w:top w:w="60" w:type="dxa"/>
              <w:left w:w="100" w:type="dxa"/>
              <w:bottom w:w="60" w:type="dxa"/>
              <w:right w:w="100" w:type="dxa"/>
            </w:tcMar>
          </w:tcPr>
          <w:p w14:paraId="17B924CB" w14:textId="77777777" w:rsidR="00434167" w:rsidRDefault="006F021E">
            <w:pPr>
              <w:widowControl/>
              <w:jc w:val="center"/>
              <w:rPr>
                <w:sz w:val="20"/>
                <w:szCs w:val="20"/>
              </w:rPr>
            </w:pPr>
            <w:r>
              <w:rPr>
                <w:sz w:val="20"/>
                <w:szCs w:val="20"/>
              </w:rPr>
              <w:t>0.060</w:t>
            </w:r>
          </w:p>
        </w:tc>
        <w:tc>
          <w:tcPr>
            <w:tcW w:w="1365" w:type="dxa"/>
            <w:tcBorders>
              <w:top w:val="nil"/>
              <w:left w:val="nil"/>
              <w:bottom w:val="single" w:sz="8" w:space="0" w:color="000000"/>
              <w:right w:val="nil"/>
            </w:tcBorders>
            <w:tcMar>
              <w:top w:w="60" w:type="dxa"/>
              <w:left w:w="100" w:type="dxa"/>
              <w:bottom w:w="60" w:type="dxa"/>
              <w:right w:w="100" w:type="dxa"/>
            </w:tcMar>
          </w:tcPr>
          <w:p w14:paraId="34C52B6E" w14:textId="77777777" w:rsidR="00434167" w:rsidRDefault="006F021E">
            <w:pPr>
              <w:widowControl/>
              <w:jc w:val="center"/>
              <w:rPr>
                <w:sz w:val="20"/>
                <w:szCs w:val="20"/>
              </w:rPr>
            </w:pPr>
            <w:r>
              <w:rPr>
                <w:sz w:val="20"/>
                <w:szCs w:val="20"/>
              </w:rPr>
              <w:t>0.060</w:t>
            </w:r>
          </w:p>
        </w:tc>
        <w:tc>
          <w:tcPr>
            <w:tcW w:w="1365" w:type="dxa"/>
            <w:tcBorders>
              <w:top w:val="nil"/>
              <w:left w:val="nil"/>
              <w:bottom w:val="single" w:sz="8" w:space="0" w:color="000000"/>
              <w:right w:val="nil"/>
            </w:tcBorders>
            <w:tcMar>
              <w:top w:w="60" w:type="dxa"/>
              <w:left w:w="100" w:type="dxa"/>
              <w:bottom w:w="60" w:type="dxa"/>
              <w:right w:w="100" w:type="dxa"/>
            </w:tcMar>
          </w:tcPr>
          <w:p w14:paraId="0B1FF0D5" w14:textId="77777777" w:rsidR="00434167" w:rsidRDefault="006F021E">
            <w:pPr>
              <w:widowControl/>
              <w:jc w:val="center"/>
              <w:rPr>
                <w:sz w:val="20"/>
                <w:szCs w:val="20"/>
              </w:rPr>
            </w:pPr>
            <w:r>
              <w:rPr>
                <w:sz w:val="20"/>
                <w:szCs w:val="20"/>
              </w:rPr>
              <w:t>4</w:t>
            </w:r>
          </w:p>
        </w:tc>
        <w:tc>
          <w:tcPr>
            <w:tcW w:w="1365" w:type="dxa"/>
            <w:tcBorders>
              <w:top w:val="nil"/>
              <w:left w:val="nil"/>
              <w:bottom w:val="single" w:sz="8" w:space="0" w:color="000000"/>
              <w:right w:val="nil"/>
            </w:tcBorders>
            <w:tcMar>
              <w:top w:w="60" w:type="dxa"/>
              <w:left w:w="100" w:type="dxa"/>
              <w:bottom w:w="60" w:type="dxa"/>
              <w:right w:w="100" w:type="dxa"/>
            </w:tcMar>
          </w:tcPr>
          <w:p w14:paraId="6366D4FF" w14:textId="77777777" w:rsidR="00434167" w:rsidRDefault="006F021E">
            <w:pPr>
              <w:widowControl/>
              <w:jc w:val="center"/>
              <w:rPr>
                <w:sz w:val="20"/>
                <w:szCs w:val="20"/>
              </w:rPr>
            </w:pPr>
            <w:r>
              <w:rPr>
                <w:sz w:val="20"/>
                <w:szCs w:val="20"/>
              </w:rPr>
              <w:t>4</w:t>
            </w:r>
          </w:p>
        </w:tc>
      </w:tr>
    </w:tbl>
    <w:p w14:paraId="69BD0E94" w14:textId="77777777" w:rsidR="00434167" w:rsidRDefault="006F021E" w:rsidP="00346375">
      <w:pPr>
        <w:widowControl/>
        <w:spacing w:before="240" w:after="160"/>
        <w:jc w:val="both"/>
      </w:pPr>
      <w:r>
        <w:t>The PPE Compliance Check finished first with a global weight of 0.449. Its local weights under Safety Impact (0.570) and Regulatory Compatibility (0.534) were the highest of any feature under those criteria, and since those two criteria together account for 0.657 of the total criteria weight, the resulting contribution to the global score was decisive. The feature's combined contribution from SI and RC alone was 0.366, which already exceeds the entire global weight of GPS Tracking.</w:t>
      </w:r>
    </w:p>
    <w:p w14:paraId="365421F8" w14:textId="3127ECBD" w:rsidR="00434167" w:rsidRDefault="006F021E">
      <w:pPr>
        <w:widowControl/>
        <w:spacing w:after="160"/>
        <w:jc w:val="both"/>
      </w:pPr>
      <w:r>
        <w:t>GPS Tracking ranked second (0.263) by leading in Technical Feasibility (0.548) and Usability (0.551). These advantages reflect the maturity of GPS hardware, the familiarity of location-based interfaces among drivers, and the straightforward integration path with existing fleet telematics platforms. Emergency Reporting placed third (0.229). Its safety-related contributions were not negligible, particularly under Regulatory Compatibility where it scored 0.291, but it was outweighed by the PPE Compliance Check on both dominant criteria and fell short of GPS Tracking on the technical dimensions.</w:t>
      </w:r>
      <w:r w:rsidR="00BF19FB">
        <w:t xml:space="preserve"> </w:t>
      </w:r>
      <w:r>
        <w:t>The gap between GPS Tracking and Emergency Reporting is relatively narrow at 0.034. Health Check ranked last across every aggregation scenario (0.060).</w:t>
      </w:r>
    </w:p>
    <w:p w14:paraId="54A80880" w14:textId="77777777" w:rsidR="00434167" w:rsidRDefault="006F021E">
      <w:pPr>
        <w:widowControl/>
        <w:spacing w:after="160"/>
        <w:jc w:val="both"/>
      </w:pPr>
      <w:r>
        <w:rPr>
          <w:noProof/>
          <w:lang w:val="en-US"/>
        </w:rPr>
        <w:drawing>
          <wp:inline distT="114300" distB="114300" distL="114300" distR="114300" wp14:anchorId="208712B4" wp14:editId="53DAB361">
            <wp:extent cx="5866646" cy="2308633"/>
            <wp:effectExtent l="0" t="0" r="127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t="6387"/>
                    <a:stretch>
                      <a:fillRect/>
                    </a:stretch>
                  </pic:blipFill>
                  <pic:spPr>
                    <a:xfrm>
                      <a:off x="0" y="0"/>
                      <a:ext cx="5936330" cy="2336055"/>
                    </a:xfrm>
                    <a:prstGeom prst="rect">
                      <a:avLst/>
                    </a:prstGeom>
                    <a:ln/>
                  </pic:spPr>
                </pic:pic>
              </a:graphicData>
            </a:graphic>
          </wp:inline>
        </w:drawing>
      </w:r>
    </w:p>
    <w:p w14:paraId="4D5AF56F" w14:textId="77777777" w:rsidR="00434167" w:rsidRDefault="006F021E">
      <w:pPr>
        <w:widowControl/>
        <w:spacing w:before="80" w:after="200"/>
        <w:jc w:val="center"/>
      </w:pPr>
      <w:r>
        <w:rPr>
          <w:b/>
          <w:bCs/>
        </w:rPr>
        <w:t>Figure 2.</w:t>
      </w:r>
      <w:r>
        <w:t xml:space="preserve"> Global priority weights (left) and criteria contribution per feature (right).</w:t>
      </w:r>
    </w:p>
    <w:p w14:paraId="3619435D" w14:textId="77777777" w:rsidR="00346375" w:rsidRDefault="00346375">
      <w:pPr>
        <w:widowControl/>
        <w:spacing w:before="80" w:after="200"/>
        <w:jc w:val="center"/>
      </w:pPr>
    </w:p>
    <w:p w14:paraId="3586827C" w14:textId="3B4F4E9A" w:rsidR="00434167" w:rsidRDefault="006F021E">
      <w:pPr>
        <w:widowControl/>
        <w:spacing w:before="180" w:after="80"/>
        <w:jc w:val="both"/>
        <w:rPr>
          <w:b/>
          <w:bCs/>
        </w:rPr>
      </w:pPr>
      <w:r>
        <w:rPr>
          <w:b/>
          <w:bCs/>
        </w:rPr>
        <w:lastRenderedPageBreak/>
        <w:t xml:space="preserve">3.4 </w:t>
      </w:r>
      <w:r w:rsidR="00BF19FB">
        <w:rPr>
          <w:b/>
          <w:bCs/>
        </w:rPr>
        <w:t>Discussion</w:t>
      </w:r>
    </w:p>
    <w:p w14:paraId="2B046A35" w14:textId="77777777" w:rsidR="00346375" w:rsidRDefault="00346375" w:rsidP="00346375">
      <w:pPr>
        <w:jc w:val="both"/>
      </w:pPr>
      <w:r w:rsidRPr="00346375">
        <w:rPr>
          <w:lang w:val="id-ID"/>
        </w:rPr>
        <w:t>The marginal consistency exceedances resolving under Group-AIJ aggregation align with known AHP behavior, where averaging smooths inconsistencies without distorting priorities (Pant et al., 2022). The AIJ and AIP agreement confirms cross-domain consensus. Sensitivity analyses proved this ranking's robustness (PPE &gt; GPS &gt; Emergency &gt; Health), remaining unchanged across one-way tests. Rank shifts are unlikely under ordinary policies, as Emergency Reporting only overtakes GPS at extreme baseline weight shifts (e.g., Safety Impact reaching 0.533).</w:t>
      </w:r>
      <w:r w:rsidRPr="00346375">
        <w:t xml:space="preserve"> </w:t>
      </w:r>
    </w:p>
    <w:p w14:paraId="3AF3A91C" w14:textId="6AA377F7" w:rsidR="00BF19FB" w:rsidRPr="00BF19FB" w:rsidRDefault="00346375" w:rsidP="00BF19FB">
      <w:pPr>
        <w:spacing w:before="240"/>
        <w:jc w:val="both"/>
      </w:pPr>
      <w:r w:rsidRPr="00346375">
        <w:t>PPE Compliance Check secured first place through dominance in Safety Impact and Regulatory Compatibility. It transforms an administrative control into an engineering interlock, challenging the NIOSH Hierarchy of Hazard Controls. This is highly feasible, as deep learning detectors reliably identify PPE compliance (Isailovic et al., 2022) with real-time performance (Lo et al., 2023). Under Reason’s (1990) Swiss Cheese Model, it closes the earliest defensive hole before operation begins.</w:t>
      </w:r>
      <w:r w:rsidRPr="00346375">
        <w:t xml:space="preserve"> </w:t>
      </w:r>
      <w:r w:rsidRPr="00346375">
        <w:t>GPS Tracking ranked second, leading in technical and usability criteria. Despite telematics studies showing 20–43% crash reductions (Ziakopoulos et al., 2022) , its lower global weight stems from acting primarily as a post-event audit with limited preventive capacity. Emergency Reporting followed closely, while Health Check ranked last due to self-reporting bias, undermining manual questionnaires as reliable safety instruments (Hickman &amp; Hanowski, 2022).</w:t>
      </w:r>
    </w:p>
    <w:p w14:paraId="3B83F627" w14:textId="77777777" w:rsidR="00434167" w:rsidRDefault="00434167">
      <w:pPr>
        <w:widowControl/>
        <w:pBdr>
          <w:top w:val="nil"/>
          <w:left w:val="nil"/>
          <w:bottom w:val="nil"/>
          <w:right w:val="nil"/>
          <w:between w:val="nil"/>
        </w:pBdr>
        <w:jc w:val="both"/>
      </w:pPr>
    </w:p>
    <w:p w14:paraId="5086F76E" w14:textId="77777777" w:rsidR="00434167" w:rsidRDefault="006F021E">
      <w:pPr>
        <w:widowControl/>
        <w:numPr>
          <w:ilvl w:val="0"/>
          <w:numId w:val="1"/>
        </w:numPr>
        <w:pBdr>
          <w:top w:val="nil"/>
          <w:left w:val="nil"/>
          <w:bottom w:val="nil"/>
          <w:right w:val="nil"/>
          <w:between w:val="nil"/>
        </w:pBdr>
        <w:ind w:left="284" w:hanging="284"/>
        <w:jc w:val="both"/>
        <w:rPr>
          <w:b/>
          <w:bCs/>
          <w:color w:val="000000"/>
        </w:rPr>
      </w:pPr>
      <w:commentRangeStart w:id="4"/>
      <w:r>
        <w:rPr>
          <w:b/>
          <w:bCs/>
          <w:color w:val="000000"/>
        </w:rPr>
        <w:t>CONCLUSION</w:t>
      </w:r>
      <w:commentRangeEnd w:id="4"/>
      <w:r>
        <w:rPr>
          <w:rStyle w:val="ReferensiKomentar"/>
          <w:b/>
          <w:bCs/>
          <w:color w:val="000000"/>
          <w:sz w:val="24"/>
          <w:szCs w:val="24"/>
        </w:rPr>
        <w:commentReference w:id="4"/>
      </w:r>
    </w:p>
    <w:p w14:paraId="77F7EC4E" w14:textId="50F02F6D" w:rsidR="00434167" w:rsidRDefault="006F021E">
      <w:pPr>
        <w:jc w:val="both"/>
      </w:pPr>
      <w:bookmarkStart w:id="5" w:name="_rz7rx7jwbfnq" w:colFirst="0" w:colLast="0"/>
      <w:bookmarkEnd w:id="5"/>
      <w:r>
        <w:t>This study applied AHP to prioritize four candidate features for the Drivety fleet safety application. PPE Compliance Check ranked first (0.449), followed by GPS Tracking (0.263), Emergency Reporting (0.229), and Health Check (0.060), with the ranking consistent across two aggregation methods and stable under both one-way and dynamic sensitivity testing. These results support a phased roadmap beginning with PPE Compliance Check, advancing GPS Tracking and Emergency Reporting in a second phase, and deferring Health Check until objective sensor-based alternatives are available. Future work should broaden expert representation, incorporate end-user perspectives from drivers and fleet supervisors, and validate the priority structure against real-world safety outcome data from deployed applications.</w:t>
      </w:r>
      <w:r w:rsidR="00BF19FB" w:rsidRPr="00BF19FB">
        <w:t xml:space="preserve"> </w:t>
      </w:r>
      <w:bookmarkStart w:id="6" w:name="_d1qj9rjuo7g9" w:colFirst="0" w:colLast="0"/>
      <w:bookmarkEnd w:id="6"/>
    </w:p>
    <w:p w14:paraId="7D315921" w14:textId="77777777" w:rsidR="00434167" w:rsidRDefault="00434167">
      <w:pPr>
        <w:jc w:val="both"/>
      </w:pPr>
    </w:p>
    <w:p w14:paraId="69353D4C" w14:textId="77777777" w:rsidR="00434167" w:rsidRDefault="006F021E">
      <w:pPr>
        <w:jc w:val="both"/>
        <w:rPr>
          <w:b/>
          <w:bCs/>
        </w:rPr>
      </w:pPr>
      <w:commentRangeStart w:id="7"/>
      <w:r>
        <w:rPr>
          <w:b/>
          <w:bCs/>
        </w:rPr>
        <w:t>ACKNOWLEDGEMENT</w:t>
      </w:r>
      <w:commentRangeEnd w:id="7"/>
      <w:r>
        <w:rPr>
          <w:rStyle w:val="ReferensiKomentar"/>
          <w:b/>
          <w:bCs/>
          <w:sz w:val="24"/>
          <w:szCs w:val="24"/>
        </w:rPr>
        <w:commentReference w:id="7"/>
      </w:r>
    </w:p>
    <w:p w14:paraId="7C7BE5A5" w14:textId="4578A1F7" w:rsidR="00434167" w:rsidRPr="00346375" w:rsidRDefault="006F021E" w:rsidP="00346375">
      <w:pPr>
        <w:pStyle w:val="Judul1"/>
        <w:jc w:val="both"/>
        <w:rPr>
          <w:b w:val="0"/>
          <w:bCs w:val="0"/>
          <w:sz w:val="24"/>
          <w:szCs w:val="24"/>
        </w:rPr>
      </w:pPr>
      <w:r>
        <w:rPr>
          <w:b w:val="0"/>
          <w:bCs w:val="0"/>
          <w:sz w:val="24"/>
          <w:szCs w:val="24"/>
        </w:rPr>
        <w:t>The authors thank Universitas Airlangga for institutional support and access to research facilities that made this work possible.</w:t>
      </w:r>
    </w:p>
    <w:p w14:paraId="3825F6AF" w14:textId="77777777" w:rsidR="00434167" w:rsidRDefault="006F021E">
      <w:pPr>
        <w:pStyle w:val="Judul1"/>
        <w:jc w:val="both"/>
      </w:pPr>
      <w:commentRangeStart w:id="8"/>
      <w:commentRangeStart w:id="9"/>
      <w:r>
        <w:rPr>
          <w:sz w:val="24"/>
          <w:szCs w:val="24"/>
        </w:rPr>
        <w:t>REFERENCES</w:t>
      </w:r>
      <w:commentRangeEnd w:id="8"/>
      <w:r>
        <w:rPr>
          <w:rStyle w:val="ReferensiKomentar"/>
          <w:sz w:val="28"/>
          <w:szCs w:val="28"/>
        </w:rPr>
        <w:commentReference w:id="8"/>
      </w:r>
      <w:commentRangeEnd w:id="9"/>
      <w:r w:rsidR="00971C5E">
        <w:rPr>
          <w:rStyle w:val="ReferensiKomentar"/>
          <w:sz w:val="28"/>
          <w:szCs w:val="28"/>
        </w:rPr>
        <w:commentReference w:id="9"/>
      </w:r>
    </w:p>
    <w:p w14:paraId="19529333" w14:textId="77777777" w:rsidR="00D65A38" w:rsidRDefault="00D65A38" w:rsidP="00D65A38">
      <w:pPr>
        <w:spacing w:after="100"/>
        <w:ind w:left="1440" w:hanging="720"/>
        <w:jc w:val="both"/>
      </w:pPr>
      <w:r>
        <w:t>Chaube, S., Jaloree, S., &amp; Thakur, R. S. (2024). An overview of multi-criteria decision analysis and the applications of AHP and TOPSIS methods. International Journal of Mathematical, Engineering and Management Sciences, 9(3), 581–615. https://doi.org/10.33889/IJMEMS.2024.9.3.030</w:t>
      </w:r>
    </w:p>
    <w:p w14:paraId="0FE5BA96" w14:textId="77777777" w:rsidR="00D65A38" w:rsidRDefault="00D65A38" w:rsidP="00D65A38">
      <w:pPr>
        <w:spacing w:after="100"/>
        <w:ind w:left="1440" w:hanging="720"/>
        <w:jc w:val="both"/>
      </w:pPr>
      <w:r>
        <w:t>Fitri, M. O., Lizar, Y., Gunawan, R. F., Shalihin, N., &amp; Syafril, S. (2025). Analytic hierarchy process (AHP) method to prioritize the development of smart campus dimensions. Journal of Advanced Research in Applied Sciences and Engineering Technology, 63(4), 132–142. https://doi.org/10.37934/araset.63.4.132142</w:t>
      </w:r>
    </w:p>
    <w:p w14:paraId="5A1F42CE" w14:textId="77777777" w:rsidR="00D65A38" w:rsidRDefault="00D65A38" w:rsidP="00D65A38">
      <w:pPr>
        <w:spacing w:after="100"/>
        <w:ind w:left="1440" w:hanging="720"/>
        <w:jc w:val="both"/>
      </w:pPr>
      <w:r>
        <w:lastRenderedPageBreak/>
        <w:t>Gupta, A., Christie, R., &amp; Manjula, R. (2017). Scalability in Internet of Things: Features, techniques and research challenges. International Journal of Computational Intelligence Research, 13(7), 1617–1627.</w:t>
      </w:r>
    </w:p>
    <w:p w14:paraId="0DFBED3C" w14:textId="77777777" w:rsidR="00D65A38" w:rsidRDefault="00D65A38" w:rsidP="00D65A38">
      <w:pPr>
        <w:spacing w:after="100"/>
        <w:ind w:left="1440" w:hanging="720"/>
        <w:jc w:val="both"/>
      </w:pPr>
      <w:r>
        <w:t>Hickman, J. S., &amp; Hanowski, R. J. (2022). Challenges in collecting self-reported data from commercial motor vehicle drivers. International Journal of Environmental Research and Public Health, 19(3), 1482. https://doi.org/10.3390/ijerph19031482</w:t>
      </w:r>
    </w:p>
    <w:p w14:paraId="14C8D6B7" w14:textId="77777777" w:rsidR="00D65A38" w:rsidRDefault="00D65A38" w:rsidP="00D65A38">
      <w:pPr>
        <w:spacing w:after="100"/>
        <w:ind w:left="1440" w:hanging="720"/>
        <w:jc w:val="both"/>
      </w:pPr>
      <w:r>
        <w:t>Isailovic, V., Peulic, A., Djapan, M., Savkovic, M., &amp; Vukicevic, A. M. (2022). The compliance of head-mounted industrial PPE by using deep learning object detectors. Scientific Reports, 12(1), 16307. https://doi.org/10.1038/s41598-022-20282-9</w:t>
      </w:r>
    </w:p>
    <w:p w14:paraId="77E1DBA1" w14:textId="77777777" w:rsidR="00D65A38" w:rsidRDefault="00D65A38" w:rsidP="00D65A38">
      <w:pPr>
        <w:spacing w:after="100"/>
        <w:ind w:left="1440" w:hanging="720"/>
        <w:jc w:val="both"/>
      </w:pPr>
      <w:r>
        <w:t>Jiao, Y., Zhang, C., Chen, X., Fu, L., Jiang, C., &amp; Wen, C. (2024). Driver fatigue detection using measures of heart rate variability and electrodermal activity. IEEE Transactions on Intelligent Transportation Systems, 25(7), 5510–5524. https://doi.org/10.1109/TITS.2023.3333252</w:t>
      </w:r>
    </w:p>
    <w:p w14:paraId="3F4DE0B4" w14:textId="77777777" w:rsidR="00D65A38" w:rsidRDefault="00D65A38" w:rsidP="00D65A38">
      <w:pPr>
        <w:spacing w:after="100"/>
        <w:ind w:left="1440" w:hanging="720"/>
        <w:jc w:val="both"/>
      </w:pPr>
      <w:r>
        <w:t>Lo, J. H., Lin, L. K., &amp; Hung, C. C. (2023). Real-time personal protective equipment compliance detection based on deep learning algorithm. Sustainability, 15(1), 391. https://doi.org/10.3390/su15010391</w:t>
      </w:r>
    </w:p>
    <w:p w14:paraId="29B222F9" w14:textId="77777777" w:rsidR="00D65A38" w:rsidRDefault="00D65A38" w:rsidP="00D65A38">
      <w:pPr>
        <w:spacing w:after="100"/>
        <w:ind w:left="1440" w:hanging="720"/>
        <w:jc w:val="both"/>
      </w:pPr>
      <w:r>
        <w:t>Pant, S., Kumar, A., Ram, M., Klochkov, Y., &amp; Sharma, H. K. (2022). Consistency indices in analytic hierarchy process: A review. Mathematics, 10(8), 1206. https://doi.org/10.3390/math10081206</w:t>
      </w:r>
    </w:p>
    <w:p w14:paraId="31F46C2C" w14:textId="77777777" w:rsidR="00D65A38" w:rsidRDefault="00D65A38" w:rsidP="00D65A38">
      <w:pPr>
        <w:spacing w:after="100"/>
        <w:ind w:left="1440" w:hanging="720"/>
        <w:jc w:val="both"/>
      </w:pPr>
      <w:r>
        <w:t>Reason, J. (1990). The contribution of latent human failures to the breakdown of complex systems. Philosophical Transactions of the Royal Society of London. Series B, 327(1241), 475–484. https://doi.org/10.1098/rstb.1990.0090</w:t>
      </w:r>
    </w:p>
    <w:p w14:paraId="08E692EE" w14:textId="77777777" w:rsidR="00D65A38" w:rsidRDefault="00D65A38" w:rsidP="00D65A38">
      <w:pPr>
        <w:spacing w:after="100"/>
        <w:ind w:left="1440" w:hanging="720"/>
        <w:jc w:val="both"/>
      </w:pPr>
      <w:r>
        <w:t>Ranjbar, M., &amp; Effati, S. (2023). Group decision making in the analytic hierarchy process by hesitant fuzzy numbers. Scientific Reports, 13(1), 21435. https://doi.org/10.1038/s41598-023-49076-3</w:t>
      </w:r>
    </w:p>
    <w:p w14:paraId="109F57C1" w14:textId="77777777" w:rsidR="00D65A38" w:rsidRDefault="00D65A38" w:rsidP="00D65A38">
      <w:pPr>
        <w:spacing w:after="100"/>
        <w:ind w:left="1440" w:hanging="720"/>
        <w:jc w:val="both"/>
      </w:pPr>
      <w:r>
        <w:t>Saaty, R. W. (1987). The analytic hierarchy process: What it is and how it is used. Mathematical Modelling, 9(3–5), 161–176.</w:t>
      </w:r>
    </w:p>
    <w:p w14:paraId="4BF64FCB" w14:textId="77777777" w:rsidR="00D65A38" w:rsidRDefault="00D65A38" w:rsidP="00D65A38">
      <w:pPr>
        <w:spacing w:after="100"/>
        <w:ind w:left="1440" w:hanging="720"/>
        <w:jc w:val="both"/>
      </w:pPr>
      <w:r>
        <w:t>Saaty, T. L., &amp; Katz, J. M. (1990). How to make a decision: The analytic hierarchy process. European Journal of Operational Research, 48(1), 9–26.</w:t>
      </w:r>
    </w:p>
    <w:p w14:paraId="435FFFEE" w14:textId="77777777" w:rsidR="00D65A38" w:rsidRDefault="00D65A38" w:rsidP="00D65A38">
      <w:pPr>
        <w:spacing w:after="100"/>
        <w:ind w:left="1440" w:hanging="720"/>
        <w:jc w:val="both"/>
      </w:pPr>
      <w:r>
        <w:t>Singh, R. K. (2013). Prioritizing the factors for coordinated supply chain using analytic hierarchy process (AHP). Measuring Business Excellence, 17(1), 80–97. https://doi.org/10.1108/13683041311311383</w:t>
      </w:r>
    </w:p>
    <w:p w14:paraId="54EA177D" w14:textId="77777777" w:rsidR="00D65A38" w:rsidRDefault="00D65A38" w:rsidP="00D65A38">
      <w:pPr>
        <w:spacing w:after="100"/>
        <w:ind w:left="1440" w:hanging="720"/>
        <w:jc w:val="both"/>
      </w:pPr>
      <w:r>
        <w:t>Więckowski, J., &amp; Sałabun, W. (2023). Sensitivity analysis approaches in multi-criteria decision analysis: A systematic review. Applied Soft Computing, 148, 110915. https://doi.org/10.1016/j.asoc.2023.110915</w:t>
      </w:r>
    </w:p>
    <w:p w14:paraId="339401EF" w14:textId="77777777" w:rsidR="00D65A38" w:rsidRDefault="00D65A38" w:rsidP="00D65A38">
      <w:pPr>
        <w:spacing w:after="100"/>
        <w:ind w:left="1440" w:hanging="720"/>
        <w:jc w:val="both"/>
      </w:pPr>
      <w:r>
        <w:t>Zaidan, A. A., Zaidan, B. B., Al-Haiqi, A., Kiah, M. L. M., Hussain, M., &amp; Abdulnabi, M. (2015). Evaluation and selection of open-source EMR software packages based on integrated AHP and TOPSIS. Journal of Biomedical Informatics, 53, 390–404. https://doi.org/10.1016/j.jbi.2014.11.012</w:t>
      </w:r>
    </w:p>
    <w:p w14:paraId="0BDA6887" w14:textId="7EC7EDAC" w:rsidR="00434167" w:rsidRDefault="00D65A38" w:rsidP="00971C5E">
      <w:pPr>
        <w:spacing w:after="100"/>
        <w:ind w:left="1440" w:hanging="720"/>
        <w:jc w:val="both"/>
      </w:pPr>
      <w:r>
        <w:t>Ziakopoulos, A., Theofilatos, A., &amp; Yannis, G. (2022). Driver behavior indices from large-scale fleet telematics data as surrogate safety measures. Accident Analysis and Prevention, 176, 106818. https://doi.org/10.1016/j.aap.2022.106818</w:t>
      </w:r>
    </w:p>
    <w:sectPr w:rsidR="00434167">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1440" w:footer="965"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arhan Aldan Khairian" w:date="2026-05-14T03:01:00Z" w:initials="">
    <w:p w14:paraId="0C34974C" w14:textId="77777777" w:rsidR="00434167" w:rsidRDefault="00D65A38">
      <w:pPr>
        <w:pBdr>
          <w:top w:val="nil"/>
          <w:left w:val="nil"/>
          <w:bottom w:val="nil"/>
          <w:right w:val="nil"/>
          <w:between w:val="nil"/>
        </w:pBdr>
        <w:rPr>
          <w:rFonts w:ascii="Arial" w:eastAsia="Arial" w:hAnsi="Arial" w:cs="Arial"/>
          <w:color w:val="000000"/>
          <w:sz w:val="22"/>
          <w:szCs w:val="22"/>
        </w:rPr>
      </w:pPr>
      <w:r>
        <w:rPr>
          <w:rStyle w:val="ReferensiKomentar"/>
        </w:rPr>
        <w:annotationRef/>
      </w:r>
      <w:r w:rsidR="006F021E">
        <w:rPr>
          <w:rFonts w:ascii="Arial" w:eastAsia="Arial" w:hAnsi="Arial" w:cs="Arial"/>
          <w:color w:val="000000"/>
          <w:sz w:val="22"/>
          <w:szCs w:val="22"/>
        </w:rPr>
        <w:t>Abstract should be written with 11 font size, Times New Roman, justified, single line spacing. The abstract should be concise and should contain no more than 250 words. Problem statement, objectives, methods and findings are summarized in this section</w:t>
      </w:r>
    </w:p>
  </w:comment>
  <w:comment w:id="1" w:author="Farhan Aldan Khairian" w:date="2026-05-14T03:03:00Z" w:initials="">
    <w:p w14:paraId="589D03C4" w14:textId="77777777" w:rsidR="00434167" w:rsidRDefault="00D65A38">
      <w:pPr>
        <w:pBdr>
          <w:top w:val="nil"/>
          <w:left w:val="nil"/>
          <w:bottom w:val="nil"/>
          <w:right w:val="nil"/>
          <w:between w:val="nil"/>
        </w:pBdr>
        <w:rPr>
          <w:rFonts w:ascii="Arial" w:eastAsia="Arial" w:hAnsi="Arial" w:cs="Arial"/>
          <w:color w:val="000000"/>
          <w:sz w:val="22"/>
          <w:szCs w:val="22"/>
        </w:rPr>
      </w:pPr>
      <w:r>
        <w:rPr>
          <w:rStyle w:val="ReferensiKomentar"/>
        </w:rPr>
        <w:annotationRef/>
      </w:r>
      <w:r w:rsidR="006F021E">
        <w:rPr>
          <w:rFonts w:ascii="Arial" w:eastAsia="Arial" w:hAnsi="Arial" w:cs="Arial"/>
          <w:color w:val="000000"/>
          <w:sz w:val="22"/>
          <w:szCs w:val="22"/>
        </w:rPr>
        <w:t xml:space="preserve">This format is to be used for submission of extended abstract that will be published in the Proceedings of the Asian Lifelong Learning Conference (ASAIHL 2026). The extended abstract maximum length is 3-5 pages including figure, table and references, written in English. It should be submitted in electronic form (MS-Word) via UPC link, with the name of the presenting author underlined. The incorrect formats may result in your abstract being returned to you by e-mail. </w:t>
      </w:r>
    </w:p>
    <w:p w14:paraId="1AA66925" w14:textId="77777777" w:rsidR="00434167" w:rsidRDefault="00434167">
      <w:pPr>
        <w:pBdr>
          <w:top w:val="nil"/>
          <w:left w:val="nil"/>
          <w:bottom w:val="nil"/>
          <w:right w:val="nil"/>
          <w:between w:val="nil"/>
        </w:pBdr>
        <w:rPr>
          <w:rFonts w:ascii="Arial" w:eastAsia="Arial" w:hAnsi="Arial" w:cs="Arial"/>
          <w:color w:val="000000"/>
          <w:sz w:val="22"/>
          <w:szCs w:val="22"/>
        </w:rPr>
      </w:pPr>
    </w:p>
    <w:p w14:paraId="7D1C7C57" w14:textId="77777777" w:rsidR="00434167" w:rsidRDefault="006F021E">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In this section, current literature regarding the work subject should be examined and the differences of the said work from the past, similar works should be presented clearly.</w:t>
      </w:r>
    </w:p>
    <w:p w14:paraId="48DB15E2" w14:textId="77777777" w:rsidR="00434167" w:rsidRDefault="00434167">
      <w:pPr>
        <w:pBdr>
          <w:top w:val="nil"/>
          <w:left w:val="nil"/>
          <w:bottom w:val="nil"/>
          <w:right w:val="nil"/>
          <w:between w:val="nil"/>
        </w:pBdr>
        <w:rPr>
          <w:rFonts w:ascii="Arial" w:eastAsia="Arial" w:hAnsi="Arial" w:cs="Arial"/>
          <w:color w:val="000000"/>
          <w:sz w:val="22"/>
          <w:szCs w:val="22"/>
        </w:rPr>
      </w:pPr>
    </w:p>
    <w:p w14:paraId="17E357BF" w14:textId="77777777" w:rsidR="00434167" w:rsidRDefault="006F021E">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 digital version of the proceeding with ISSN number will be published in the seminar website. After the conference, selected submission will be invited to be extended into full papers for publishing in SCOPUS indexed journals, with additional fees (if accepted). To note, the final decision on the journal will be based on the reviewer’s comments and the SCOPUS journal.</w:t>
      </w:r>
    </w:p>
  </w:comment>
  <w:comment w:id="2" w:author="Farhan Aldan Khairian" w:date="2026-05-14T03:06:00Z" w:initials="">
    <w:p w14:paraId="07A9E94C" w14:textId="77777777" w:rsidR="00434167" w:rsidRDefault="00D65A38">
      <w:pPr>
        <w:pBdr>
          <w:top w:val="nil"/>
          <w:left w:val="nil"/>
          <w:bottom w:val="nil"/>
          <w:right w:val="nil"/>
          <w:between w:val="nil"/>
        </w:pBdr>
        <w:rPr>
          <w:rFonts w:ascii="Arial" w:eastAsia="Arial" w:hAnsi="Arial" w:cs="Arial"/>
          <w:color w:val="000000"/>
          <w:sz w:val="22"/>
          <w:szCs w:val="22"/>
        </w:rPr>
      </w:pPr>
      <w:r>
        <w:rPr>
          <w:rStyle w:val="ReferensiKomentar"/>
        </w:rPr>
        <w:annotationRef/>
      </w:r>
      <w:r w:rsidR="006F021E">
        <w:rPr>
          <w:rFonts w:ascii="Arial" w:eastAsia="Arial" w:hAnsi="Arial" w:cs="Arial"/>
          <w:color w:val="000000"/>
          <w:sz w:val="22"/>
          <w:szCs w:val="22"/>
        </w:rPr>
        <w:t>The methodology must be clearly stated and described in sufficient detail or with sufficient references. The author shall explain the research question, describe the research framework, and the methods applied in detail. It should be furthermore highlighted why the research question is relevant to theory and practice, and why the chosen method(s) are suited for the problem.</w:t>
      </w:r>
    </w:p>
  </w:comment>
  <w:comment w:id="3" w:author="Farhan Aldan Khairian" w:date="2026-05-14T03:16:00Z" w:initials="">
    <w:p w14:paraId="1C67B0D9" w14:textId="77777777" w:rsidR="00434167" w:rsidRDefault="00D65A38">
      <w:pPr>
        <w:pBdr>
          <w:top w:val="nil"/>
          <w:left w:val="nil"/>
          <w:bottom w:val="nil"/>
          <w:right w:val="nil"/>
          <w:between w:val="nil"/>
        </w:pBdr>
        <w:rPr>
          <w:rFonts w:ascii="Arial" w:eastAsia="Arial" w:hAnsi="Arial" w:cs="Arial"/>
          <w:color w:val="000000"/>
          <w:sz w:val="22"/>
          <w:szCs w:val="22"/>
        </w:rPr>
      </w:pPr>
      <w:r>
        <w:rPr>
          <w:rStyle w:val="ReferensiKomentar"/>
        </w:rPr>
        <w:annotationRef/>
      </w:r>
      <w:r w:rsidR="006F021E">
        <w:rPr>
          <w:rFonts w:ascii="Arial" w:eastAsia="Arial" w:hAnsi="Arial" w:cs="Arial"/>
          <w:color w:val="000000"/>
          <w:sz w:val="22"/>
          <w:szCs w:val="22"/>
        </w:rPr>
        <w:t>Presentation of the result obtained. If possible, use descriptive figures or tables rather than explain in text. Do not discuss or interpret the results at this stage. Discuss the results. Put your results in perspective by comparing to other studies or generally accepted knowledge in the field. Criticize your own method and results, for example, with respect to the simplifications made.</w:t>
      </w:r>
    </w:p>
  </w:comment>
  <w:comment w:id="4" w:author="Farhan Aldan Khairian" w:date="2026-05-14T04:13:00Z" w:initials="">
    <w:p w14:paraId="50F83D10" w14:textId="77777777" w:rsidR="00434167" w:rsidRDefault="00D65A38">
      <w:pPr>
        <w:pBdr>
          <w:top w:val="nil"/>
          <w:left w:val="nil"/>
          <w:bottom w:val="nil"/>
          <w:right w:val="nil"/>
          <w:between w:val="nil"/>
        </w:pBdr>
        <w:rPr>
          <w:rFonts w:ascii="Arial" w:eastAsia="Arial" w:hAnsi="Arial" w:cs="Arial"/>
          <w:color w:val="000000"/>
          <w:sz w:val="22"/>
          <w:szCs w:val="22"/>
        </w:rPr>
      </w:pPr>
      <w:r>
        <w:rPr>
          <w:rStyle w:val="ReferensiKomentar"/>
        </w:rPr>
        <w:annotationRef/>
      </w:r>
      <w:r w:rsidR="006F021E">
        <w:rPr>
          <w:rFonts w:ascii="Arial" w:eastAsia="Arial" w:hAnsi="Arial" w:cs="Arial"/>
          <w:color w:val="000000"/>
          <w:sz w:val="22"/>
          <w:szCs w:val="22"/>
        </w:rPr>
        <w:t>Please conclude your work incorporating your most important finding as well as future works (3-4 lines).</w:t>
      </w:r>
    </w:p>
  </w:comment>
  <w:comment w:id="7" w:author="Farhan Aldan Khairian" w:date="2026-05-14T04:14:00Z" w:initials="">
    <w:p w14:paraId="5E4B6C8C" w14:textId="77777777" w:rsidR="00434167" w:rsidRDefault="00D65A38">
      <w:pPr>
        <w:pBdr>
          <w:top w:val="nil"/>
          <w:left w:val="nil"/>
          <w:bottom w:val="nil"/>
          <w:right w:val="nil"/>
          <w:between w:val="nil"/>
        </w:pBdr>
        <w:rPr>
          <w:rFonts w:ascii="Arial" w:eastAsia="Arial" w:hAnsi="Arial" w:cs="Arial"/>
          <w:color w:val="000000"/>
          <w:sz w:val="22"/>
          <w:szCs w:val="22"/>
        </w:rPr>
      </w:pPr>
      <w:r>
        <w:rPr>
          <w:rStyle w:val="ReferensiKomentar"/>
        </w:rPr>
        <w:annotationRef/>
      </w:r>
      <w:r w:rsidR="006F021E">
        <w:rPr>
          <w:rFonts w:ascii="Arial" w:eastAsia="Arial" w:hAnsi="Arial" w:cs="Arial"/>
          <w:color w:val="000000"/>
          <w:sz w:val="22"/>
          <w:szCs w:val="22"/>
        </w:rPr>
        <w:t>Please acknowledge your research grant, organization, scholarship (where relevant).</w:t>
      </w:r>
    </w:p>
  </w:comment>
  <w:comment w:id="8" w:author="Farhan Aldan Khairian" w:date="2026-05-14T04:14:00Z" w:initials="">
    <w:p w14:paraId="0E90199E" w14:textId="77777777" w:rsidR="00434167" w:rsidRDefault="00D65A38">
      <w:pPr>
        <w:pBdr>
          <w:top w:val="nil"/>
          <w:left w:val="nil"/>
          <w:bottom w:val="nil"/>
          <w:right w:val="nil"/>
          <w:between w:val="nil"/>
        </w:pBdr>
        <w:rPr>
          <w:rFonts w:ascii="Arial" w:eastAsia="Arial" w:hAnsi="Arial" w:cs="Arial"/>
          <w:color w:val="000000"/>
          <w:sz w:val="22"/>
          <w:szCs w:val="22"/>
        </w:rPr>
      </w:pPr>
      <w:r>
        <w:rPr>
          <w:rStyle w:val="ReferensiKomentar"/>
        </w:rPr>
        <w:annotationRef/>
      </w:r>
      <w:r w:rsidR="006F021E">
        <w:rPr>
          <w:rFonts w:ascii="Arial" w:eastAsia="Arial" w:hAnsi="Arial" w:cs="Arial"/>
          <w:color w:val="000000"/>
          <w:sz w:val="22"/>
          <w:szCs w:val="22"/>
        </w:rPr>
        <w:t>References should be prepared in APA 7th Edition style as shown in example below:</w:t>
      </w:r>
    </w:p>
  </w:comment>
  <w:comment w:id="9" w:author="Farhan Aldan Khairian" w:date="2026-05-19T06:49:00Z" w:initials="FA">
    <w:p w14:paraId="43477F05" w14:textId="77777777" w:rsidR="00971C5E" w:rsidRDefault="00971C5E" w:rsidP="00971C5E">
      <w:pPr>
        <w:pStyle w:val="TeksKomentar"/>
      </w:pPr>
      <w:r>
        <w:rPr>
          <w:rStyle w:val="ReferensiKomentar"/>
        </w:rPr>
        <w:annotationRef/>
      </w:r>
      <w:r>
        <w:rPr>
          <w:b/>
          <w:bCs/>
          <w:color w:val="000000"/>
        </w:rPr>
        <w:t>Common Reference Templates</w:t>
      </w:r>
    </w:p>
    <w:p w14:paraId="28E0A8A7" w14:textId="77777777" w:rsidR="00971C5E" w:rsidRDefault="00971C5E" w:rsidP="00971C5E">
      <w:pPr>
        <w:pStyle w:val="TeksKomentar"/>
      </w:pPr>
      <w:r>
        <w:rPr>
          <w:color w:val="000000"/>
        </w:rPr>
        <w:t>1. Journal Articles</w:t>
      </w:r>
    </w:p>
    <w:p w14:paraId="4DB2CD3C" w14:textId="77777777" w:rsidR="00971C5E" w:rsidRDefault="00971C5E" w:rsidP="00971C5E">
      <w:pPr>
        <w:pStyle w:val="TeksKomentar"/>
      </w:pPr>
      <w:r>
        <w:rPr>
          <w:b/>
          <w:bCs/>
          <w:color w:val="000000"/>
        </w:rPr>
        <w:t>Template:</w:t>
      </w:r>
      <w:r>
        <w:rPr>
          <w:color w:val="000000"/>
        </w:rPr>
        <w:t> Author, A. A., &amp; Author, B. B. (Year). Title of the article. </w:t>
      </w:r>
      <w:r>
        <w:rPr>
          <w:i/>
          <w:iCs/>
          <w:color w:val="000000"/>
        </w:rPr>
        <w:t>Title of the Periodical</w:t>
      </w:r>
      <w:r>
        <w:rPr>
          <w:color w:val="000000"/>
        </w:rPr>
        <w:t>, </w:t>
      </w:r>
      <w:r>
        <w:rPr>
          <w:i/>
          <w:iCs/>
          <w:color w:val="000000"/>
        </w:rPr>
        <w:t>Volume</w:t>
      </w:r>
      <w:r>
        <w:rPr>
          <w:color w:val="000000"/>
        </w:rPr>
        <w:t>(Issue), Pages. </w:t>
      </w:r>
      <w:hyperlink r:id="rId1" w:history="1">
        <w:r w:rsidRPr="0039268F">
          <w:rPr>
            <w:rStyle w:val="Hyperlink"/>
          </w:rPr>
          <w:t>https://doi.org/xxxx</w:t>
        </w:r>
      </w:hyperlink>
    </w:p>
    <w:p w14:paraId="5F7843F9" w14:textId="77777777" w:rsidR="00971C5E" w:rsidRDefault="00971C5E" w:rsidP="00971C5E">
      <w:pPr>
        <w:pStyle w:val="TeksKomentar"/>
        <w:ind w:left="720"/>
      </w:pPr>
      <w:r>
        <w:rPr>
          <w:color w:val="000000"/>
        </w:rPr>
        <w:t>●</w:t>
      </w:r>
      <w:r>
        <w:rPr>
          <w:color w:val="000000"/>
        </w:rPr>
        <w:tab/>
      </w:r>
      <w:r>
        <w:rPr>
          <w:b/>
          <w:bCs/>
          <w:color w:val="000000"/>
        </w:rPr>
        <w:t>Example:</w:t>
      </w:r>
      <w:r>
        <w:rPr>
          <w:color w:val="000000"/>
        </w:rPr>
        <w:t> Miller, J. R. (2022). The physics of acoustic resonance. </w:t>
      </w:r>
      <w:r>
        <w:rPr>
          <w:i/>
          <w:iCs/>
          <w:color w:val="000000"/>
        </w:rPr>
        <w:t>Journal of Sound Studies</w:t>
      </w:r>
      <w:r>
        <w:rPr>
          <w:color w:val="000000"/>
        </w:rPr>
        <w:t>, </w:t>
      </w:r>
      <w:r>
        <w:rPr>
          <w:i/>
          <w:iCs/>
          <w:color w:val="000000"/>
        </w:rPr>
        <w:t>15</w:t>
      </w:r>
      <w:r>
        <w:rPr>
          <w:color w:val="000000"/>
        </w:rPr>
        <w:t>(2), 102–115. </w:t>
      </w:r>
      <w:hyperlink r:id="rId2" w:history="1">
        <w:r w:rsidRPr="0039268F">
          <w:rPr>
            <w:rStyle w:val="Hyperlink"/>
          </w:rPr>
          <w:t>https://doi.org/10.1037/rev0000123</w:t>
        </w:r>
      </w:hyperlink>
    </w:p>
    <w:p w14:paraId="23D484BF" w14:textId="77777777" w:rsidR="00971C5E" w:rsidRDefault="00971C5E" w:rsidP="00971C5E">
      <w:pPr>
        <w:pStyle w:val="TeksKomentar"/>
      </w:pPr>
      <w:r>
        <w:rPr>
          <w:color w:val="000000"/>
        </w:rPr>
        <w:t>2. Books (Whole)</w:t>
      </w:r>
    </w:p>
    <w:p w14:paraId="2AF54C55" w14:textId="77777777" w:rsidR="00971C5E" w:rsidRDefault="00971C5E" w:rsidP="00971C5E">
      <w:pPr>
        <w:pStyle w:val="TeksKomentar"/>
      </w:pPr>
      <w:r>
        <w:rPr>
          <w:b/>
          <w:bCs/>
          <w:color w:val="000000"/>
        </w:rPr>
        <w:t>Template:</w:t>
      </w:r>
      <w:r>
        <w:rPr>
          <w:color w:val="000000"/>
        </w:rPr>
        <w:t> Author, A. A. (Year). </w:t>
      </w:r>
      <w:r>
        <w:rPr>
          <w:i/>
          <w:iCs/>
          <w:color w:val="000000"/>
        </w:rPr>
        <w:t>Title of the work</w:t>
      </w:r>
      <w:r>
        <w:rPr>
          <w:color w:val="000000"/>
        </w:rPr>
        <w:t>. Publisher.</w:t>
      </w:r>
    </w:p>
    <w:p w14:paraId="1F7E3485" w14:textId="77777777" w:rsidR="00971C5E" w:rsidRDefault="00971C5E" w:rsidP="00971C5E">
      <w:pPr>
        <w:pStyle w:val="TeksKomentar"/>
        <w:ind w:left="720"/>
      </w:pPr>
      <w:r>
        <w:rPr>
          <w:color w:val="000000"/>
        </w:rPr>
        <w:t>●</w:t>
      </w:r>
      <w:r>
        <w:rPr>
          <w:color w:val="000000"/>
        </w:rPr>
        <w:tab/>
      </w:r>
      <w:r>
        <w:rPr>
          <w:b/>
          <w:bCs/>
          <w:color w:val="000000"/>
        </w:rPr>
        <w:t>Example:</w:t>
      </w:r>
      <w:r>
        <w:rPr>
          <w:color w:val="000000"/>
        </w:rPr>
        <w:t> Walker, J. (2020). </w:t>
      </w:r>
      <w:r>
        <w:rPr>
          <w:i/>
          <w:iCs/>
          <w:color w:val="000000"/>
        </w:rPr>
        <w:t>Fundamentals of physics</w:t>
      </w:r>
      <w:r>
        <w:rPr>
          <w:color w:val="000000"/>
        </w:rPr>
        <w:t> (11th ed.). Wiley.</w:t>
      </w:r>
    </w:p>
    <w:p w14:paraId="47B18B69" w14:textId="77777777" w:rsidR="00971C5E" w:rsidRDefault="00971C5E" w:rsidP="00971C5E">
      <w:pPr>
        <w:pStyle w:val="TeksKomentar"/>
      </w:pPr>
      <w:r>
        <w:rPr>
          <w:color w:val="000000"/>
        </w:rPr>
        <w:t>3. Edited Book Chapter</w:t>
      </w:r>
    </w:p>
    <w:p w14:paraId="013E24B9" w14:textId="77777777" w:rsidR="00971C5E" w:rsidRDefault="00971C5E" w:rsidP="00971C5E">
      <w:pPr>
        <w:pStyle w:val="TeksKomentar"/>
      </w:pPr>
      <w:r>
        <w:rPr>
          <w:b/>
          <w:bCs/>
          <w:color w:val="000000"/>
        </w:rPr>
        <w:t>Template:</w:t>
      </w:r>
      <w:r>
        <w:rPr>
          <w:color w:val="000000"/>
        </w:rPr>
        <w:t> Author, A. A. (Year). Title of the chapter. In E. E. Editor (Ed.), </w:t>
      </w:r>
      <w:r>
        <w:rPr>
          <w:i/>
          <w:iCs/>
          <w:color w:val="000000"/>
        </w:rPr>
        <w:t>Title of the book</w:t>
      </w:r>
      <w:r>
        <w:rPr>
          <w:color w:val="000000"/>
        </w:rPr>
        <w:t> (pp. xx–xx). Publisher.</w:t>
      </w:r>
    </w:p>
    <w:p w14:paraId="48137E0F" w14:textId="77777777" w:rsidR="00971C5E" w:rsidRDefault="00971C5E" w:rsidP="00971C5E">
      <w:pPr>
        <w:pStyle w:val="TeksKomentar"/>
        <w:ind w:left="720"/>
      </w:pPr>
      <w:r>
        <w:rPr>
          <w:color w:val="000000"/>
        </w:rPr>
        <w:t>●</w:t>
      </w:r>
      <w:r>
        <w:rPr>
          <w:color w:val="000000"/>
        </w:rPr>
        <w:tab/>
      </w:r>
      <w:r>
        <w:rPr>
          <w:b/>
          <w:bCs/>
          <w:color w:val="000000"/>
        </w:rPr>
        <w:t>Example:</w:t>
      </w:r>
      <w:r>
        <w:rPr>
          <w:color w:val="000000"/>
        </w:rPr>
        <w:t> Thompson, S. (2019). Wave mechanics. In R. Lee (Ed.), </w:t>
      </w:r>
      <w:r>
        <w:rPr>
          <w:i/>
          <w:iCs/>
          <w:color w:val="000000"/>
        </w:rPr>
        <w:t>Advanced University Physics</w:t>
      </w:r>
      <w:r>
        <w:rPr>
          <w:color w:val="000000"/>
        </w:rPr>
        <w:t> (pp. 45–67). Oxford University Press.</w:t>
      </w:r>
    </w:p>
    <w:p w14:paraId="2ED7EFC6" w14:textId="77777777" w:rsidR="00971C5E" w:rsidRDefault="00971C5E" w:rsidP="00971C5E">
      <w:pPr>
        <w:pStyle w:val="TeksKomentar"/>
      </w:pPr>
      <w:r>
        <w:rPr>
          <w:color w:val="000000"/>
        </w:rPr>
        <w:t>4. Webpages on a Website</w:t>
      </w:r>
    </w:p>
    <w:p w14:paraId="2D165A92" w14:textId="77777777" w:rsidR="00971C5E" w:rsidRDefault="00971C5E" w:rsidP="00971C5E">
      <w:pPr>
        <w:pStyle w:val="TeksKomentar"/>
      </w:pPr>
      <w:r>
        <w:rPr>
          <w:b/>
          <w:bCs/>
          <w:color w:val="000000"/>
        </w:rPr>
        <w:t>Template:</w:t>
      </w:r>
      <w:r>
        <w:rPr>
          <w:color w:val="000000"/>
        </w:rPr>
        <w:t> Author, A. A. (Year, Month Day). </w:t>
      </w:r>
      <w:r>
        <w:rPr>
          <w:i/>
          <w:iCs/>
          <w:color w:val="000000"/>
        </w:rPr>
        <w:t>Title of the page</w:t>
      </w:r>
      <w:r>
        <w:rPr>
          <w:color w:val="000000"/>
        </w:rPr>
        <w:t>. Site Name. URL</w:t>
      </w:r>
    </w:p>
    <w:p w14:paraId="696AD53F" w14:textId="77777777" w:rsidR="00971C5E" w:rsidRDefault="00971C5E" w:rsidP="00971C5E">
      <w:pPr>
        <w:pStyle w:val="TeksKomentar"/>
        <w:ind w:left="720"/>
      </w:pPr>
      <w:r>
        <w:rPr>
          <w:color w:val="000000"/>
        </w:rPr>
        <w:t>●</w:t>
      </w:r>
      <w:r>
        <w:rPr>
          <w:color w:val="000000"/>
        </w:rPr>
        <w:tab/>
      </w:r>
      <w:r>
        <w:rPr>
          <w:b/>
          <w:bCs/>
          <w:color w:val="000000"/>
        </w:rPr>
        <w:t>Example:</w:t>
      </w:r>
      <w:r>
        <w:rPr>
          <w:color w:val="000000"/>
        </w:rPr>
        <w:t> National Weather Service. (2023, June 10). </w:t>
      </w:r>
      <w:r>
        <w:rPr>
          <w:i/>
          <w:iCs/>
          <w:color w:val="000000"/>
        </w:rPr>
        <w:t>Thunderstorm safety and science</w:t>
      </w:r>
      <w:r>
        <w:rPr>
          <w:color w:val="000000"/>
        </w:rPr>
        <w:t>. NOAA. </w:t>
      </w:r>
      <w:hyperlink r:id="rId3" w:history="1">
        <w:r w:rsidRPr="0039268F">
          <w:rPr>
            <w:rStyle w:val="Hyperlink"/>
          </w:rPr>
          <w:t>https://www.weather.gov/safety/lightning</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34974C" w15:done="0"/>
  <w15:commentEx w15:paraId="17E357BF" w15:done="0"/>
  <w15:commentEx w15:paraId="07A9E94C" w15:done="0"/>
  <w15:commentEx w15:paraId="1C67B0D9" w15:done="0"/>
  <w15:commentEx w15:paraId="50F83D10" w15:done="0"/>
  <w15:commentEx w15:paraId="5E4B6C8C" w15:done="0"/>
  <w15:commentEx w15:paraId="0E90199E" w15:done="0"/>
  <w15:commentEx w15:paraId="696AD53F" w15:paraIdParent="0E90199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44D7C5" w16cex:dateUtc="2026-05-18T2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34974C" w16cid:durableId="0C34974C"/>
  <w16cid:commentId w16cid:paraId="17E357BF" w16cid:durableId="17E357BF"/>
  <w16cid:commentId w16cid:paraId="07A9E94C" w16cid:durableId="07A9E94C"/>
  <w16cid:commentId w16cid:paraId="1C67B0D9" w16cid:durableId="1C67B0D9"/>
  <w16cid:commentId w16cid:paraId="50F83D10" w16cid:durableId="50F83D10"/>
  <w16cid:commentId w16cid:paraId="5E4B6C8C" w16cid:durableId="5E4B6C8C"/>
  <w16cid:commentId w16cid:paraId="0E90199E" w16cid:durableId="0E90199E"/>
  <w16cid:commentId w16cid:paraId="696AD53F" w16cid:durableId="2E44D7C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6A81E" w14:textId="77777777" w:rsidR="003F76A3" w:rsidRDefault="003F76A3">
      <w:r>
        <w:separator/>
      </w:r>
    </w:p>
  </w:endnote>
  <w:endnote w:type="continuationSeparator" w:id="0">
    <w:p w14:paraId="347BC201" w14:textId="77777777" w:rsidR="003F76A3" w:rsidRDefault="003F7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B4535D8-F863-445A-87E7-C04EC5488D1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F45062D7-9089-4B81-87D2-20020A879431}"/>
  </w:font>
  <w:font w:name="Segoe UI">
    <w:panose1 w:val="020B0502040204020203"/>
    <w:charset w:val="00"/>
    <w:family w:val="swiss"/>
    <w:pitch w:val="variable"/>
    <w:sig w:usb0="E4002EFF" w:usb1="C000E47F" w:usb2="00000009" w:usb3="00000000" w:csb0="000001FF" w:csb1="00000000"/>
    <w:embedRegular r:id="rId3" w:fontKey="{D867AC6E-44EF-420A-819A-DC1FDB8CD9D8}"/>
  </w:font>
  <w:font w:name="Calibri">
    <w:panose1 w:val="020F0502020204030204"/>
    <w:charset w:val="00"/>
    <w:family w:val="swiss"/>
    <w:pitch w:val="variable"/>
    <w:sig w:usb0="E4002EFF" w:usb1="C200247B" w:usb2="00000009" w:usb3="00000000" w:csb0="000001FF" w:csb1="00000000"/>
    <w:embedRegular r:id="rId4" w:fontKey="{23648D86-2652-4A09-AD0C-07CC123A5888}"/>
  </w:font>
  <w:font w:name="Cambria">
    <w:panose1 w:val="02040503050406030204"/>
    <w:charset w:val="00"/>
    <w:family w:val="roman"/>
    <w:pitch w:val="variable"/>
    <w:sig w:usb0="E00006FF" w:usb1="420024FF" w:usb2="02000000" w:usb3="00000000" w:csb0="0000019F" w:csb1="00000000"/>
    <w:embedRegular r:id="rId5" w:fontKey="{64671032-FCEE-4FDD-98B9-CF2875EACE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7C3DB" w14:textId="77777777" w:rsidR="00434167" w:rsidRDefault="006F021E">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p>
  <w:p w14:paraId="15918FAA" w14:textId="77777777" w:rsidR="00434167" w:rsidRDefault="00434167">
    <w:pPr>
      <w:pBdr>
        <w:top w:val="nil"/>
        <w:left w:val="nil"/>
        <w:bottom w:val="nil"/>
        <w:right w:val="nil"/>
        <w:between w:val="nil"/>
      </w:pBdr>
      <w:tabs>
        <w:tab w:val="center" w:pos="4419"/>
        <w:tab w:val="right" w:pos="8838"/>
      </w:tabs>
      <w:ind w:right="360"/>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2739C" w14:textId="77777777" w:rsidR="00434167" w:rsidRDefault="00434167">
    <w:pPr>
      <w:pBdr>
        <w:top w:val="nil"/>
        <w:left w:val="nil"/>
        <w:bottom w:val="nil"/>
        <w:right w:val="nil"/>
        <w:between w:val="nil"/>
      </w:pBdr>
      <w:tabs>
        <w:tab w:val="center" w:pos="4419"/>
        <w:tab w:val="right" w:pos="8838"/>
      </w:tabs>
      <w:jc w:val="center"/>
      <w:rPr>
        <w:color w:val="000000"/>
      </w:rPr>
    </w:pPr>
  </w:p>
  <w:p w14:paraId="79B9EB7B" w14:textId="77777777" w:rsidR="00434167" w:rsidRDefault="00434167">
    <w:pPr>
      <w:pBdr>
        <w:top w:val="nil"/>
        <w:left w:val="nil"/>
        <w:bottom w:val="nil"/>
        <w:right w:val="nil"/>
        <w:between w:val="nil"/>
      </w:pBdr>
      <w:tabs>
        <w:tab w:val="center" w:pos="4419"/>
        <w:tab w:val="right" w:pos="8838"/>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E40E9" w14:textId="77777777" w:rsidR="00434167" w:rsidRDefault="00434167">
    <w:pPr>
      <w:pBdr>
        <w:top w:val="nil"/>
        <w:left w:val="nil"/>
        <w:bottom w:val="nil"/>
        <w:right w:val="nil"/>
        <w:between w:val="nil"/>
      </w:pBdr>
      <w:tabs>
        <w:tab w:val="center" w:pos="4419"/>
        <w:tab w:val="right" w:pos="8838"/>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5C92C" w14:textId="77777777" w:rsidR="003F76A3" w:rsidRDefault="003F76A3">
      <w:r>
        <w:separator/>
      </w:r>
    </w:p>
  </w:footnote>
  <w:footnote w:type="continuationSeparator" w:id="0">
    <w:p w14:paraId="45DEA135" w14:textId="77777777" w:rsidR="003F76A3" w:rsidRDefault="003F7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A6D10" w14:textId="77777777" w:rsidR="00434167" w:rsidRDefault="00434167">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DD5FA" w14:textId="77777777" w:rsidR="00434167" w:rsidRDefault="00434167">
    <w:pPr>
      <w:pBdr>
        <w:top w:val="nil"/>
        <w:left w:val="nil"/>
        <w:bottom w:val="nil"/>
        <w:right w:val="nil"/>
        <w:between w:val="nil"/>
      </w:pBdr>
      <w:tabs>
        <w:tab w:val="center" w:pos="4252"/>
        <w:tab w:val="right" w:pos="8504"/>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D7E0" w14:textId="77777777" w:rsidR="00434167" w:rsidRDefault="006F021E">
    <w:pPr>
      <w:pBdr>
        <w:top w:val="nil"/>
        <w:left w:val="nil"/>
        <w:bottom w:val="nil"/>
        <w:right w:val="nil"/>
        <w:between w:val="nil"/>
      </w:pBdr>
      <w:tabs>
        <w:tab w:val="center" w:pos="4252"/>
        <w:tab w:val="right" w:pos="8504"/>
      </w:tabs>
      <w:jc w:val="right"/>
      <w:rPr>
        <w:b/>
        <w:bCs/>
        <w:color w:val="000000"/>
        <w:sz w:val="22"/>
        <w:szCs w:val="22"/>
      </w:rPr>
    </w:pPr>
    <w:r>
      <w:rPr>
        <w:b/>
        <w:bCs/>
        <w:color w:val="000000"/>
        <w:sz w:val="22"/>
        <w:szCs w:val="22"/>
      </w:rPr>
      <w:t>Asian Lifelong Learning Conference (ASAIHL 2026)</w:t>
    </w:r>
  </w:p>
  <w:p w14:paraId="21527F9F" w14:textId="77777777" w:rsidR="00434167" w:rsidRDefault="006F021E">
    <w:pPr>
      <w:pBdr>
        <w:top w:val="nil"/>
        <w:left w:val="nil"/>
        <w:bottom w:val="nil"/>
        <w:right w:val="nil"/>
        <w:between w:val="nil"/>
      </w:pBdr>
      <w:tabs>
        <w:tab w:val="center" w:pos="4252"/>
        <w:tab w:val="right" w:pos="8504"/>
      </w:tabs>
      <w:jc w:val="right"/>
      <w:rPr>
        <w:color w:val="000000"/>
        <w:sz w:val="22"/>
        <w:szCs w:val="22"/>
      </w:rPr>
    </w:pPr>
    <w:r>
      <w:rPr>
        <w:color w:val="000000"/>
        <w:sz w:val="22"/>
        <w:szCs w:val="22"/>
      </w:rPr>
      <w:t>Universiti Malaysia Sabah, Malaysia 3</w:t>
    </w:r>
    <w:r>
      <w:rPr>
        <w:color w:val="000000"/>
        <w:sz w:val="22"/>
        <w:szCs w:val="22"/>
        <w:vertAlign w:val="superscript"/>
      </w:rPr>
      <w:t>rd</w:t>
    </w:r>
    <w:r>
      <w:rPr>
        <w:color w:val="000000"/>
        <w:sz w:val="22"/>
        <w:szCs w:val="22"/>
      </w:rPr>
      <w:t>-5</w:t>
    </w:r>
    <w:r>
      <w:rPr>
        <w:color w:val="000000"/>
        <w:sz w:val="22"/>
        <w:szCs w:val="22"/>
        <w:vertAlign w:val="superscript"/>
      </w:rPr>
      <w:t>th</w:t>
    </w:r>
    <w:r>
      <w:rPr>
        <w:color w:val="000000"/>
        <w:sz w:val="22"/>
        <w:szCs w:val="22"/>
      </w:rPr>
      <w:t xml:space="preserve"> July 2026</w:t>
    </w:r>
  </w:p>
  <w:p w14:paraId="74F6C908" w14:textId="77777777" w:rsidR="00434167" w:rsidRDefault="00434167">
    <w:pPr>
      <w:pBdr>
        <w:top w:val="nil"/>
        <w:left w:val="nil"/>
        <w:bottom w:val="nil"/>
        <w:right w:val="nil"/>
        <w:between w:val="nil"/>
      </w:pBdr>
      <w:tabs>
        <w:tab w:val="center" w:pos="4252"/>
        <w:tab w:val="right" w:pos="8504"/>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B6B88"/>
    <w:multiLevelType w:val="multilevel"/>
    <w:tmpl w:val="332464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87D10EF"/>
    <w:multiLevelType w:val="multilevel"/>
    <w:tmpl w:val="BF3614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E0D2FA6"/>
    <w:multiLevelType w:val="multilevel"/>
    <w:tmpl w:val="3D4E39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F36537F"/>
    <w:multiLevelType w:val="multilevel"/>
    <w:tmpl w:val="04FA6466"/>
    <w:lvl w:ilvl="0">
      <w:start w:val="1"/>
      <w:numFmt w:val="decimal"/>
      <w:lvlText w:val="%1."/>
      <w:lvlJc w:val="left"/>
      <w:pPr>
        <w:ind w:left="720" w:hanging="360"/>
      </w:pPr>
    </w:lvl>
    <w:lvl w:ilvl="1">
      <w:start w:val="1"/>
      <w:numFmt w:val="decimal"/>
      <w:lvlText w:val="%1.%2"/>
      <w:lvlJc w:val="left"/>
      <w:pPr>
        <w:ind w:left="735" w:hanging="375"/>
      </w:pPr>
      <w:rPr>
        <w:b/>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7AD05882"/>
    <w:multiLevelType w:val="multilevel"/>
    <w:tmpl w:val="983007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80179079">
    <w:abstractNumId w:val="3"/>
  </w:num>
  <w:num w:numId="2" w16cid:durableId="66849919">
    <w:abstractNumId w:val="4"/>
  </w:num>
  <w:num w:numId="3" w16cid:durableId="977761924">
    <w:abstractNumId w:val="1"/>
  </w:num>
  <w:num w:numId="4" w16cid:durableId="1715302812">
    <w:abstractNumId w:val="2"/>
  </w:num>
  <w:num w:numId="5" w16cid:durableId="79942284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rhan Aldan Khairian">
    <w15:presenceInfo w15:providerId="Windows Live" w15:userId="1426e6ce586be0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167"/>
    <w:rsid w:val="00346375"/>
    <w:rsid w:val="003F76A3"/>
    <w:rsid w:val="00434167"/>
    <w:rsid w:val="005A64FB"/>
    <w:rsid w:val="006F021E"/>
    <w:rsid w:val="007018F5"/>
    <w:rsid w:val="0075196D"/>
    <w:rsid w:val="008A7EA1"/>
    <w:rsid w:val="008D3F1B"/>
    <w:rsid w:val="00971C5E"/>
    <w:rsid w:val="00AB1259"/>
    <w:rsid w:val="00BA282A"/>
    <w:rsid w:val="00BF19FB"/>
    <w:rsid w:val="00D65A38"/>
    <w:rsid w:val="00FC2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D8F0E"/>
  <w15:docId w15:val="{54044E1B-95D0-4078-A7D3-4C183E340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Judul1">
    <w:name w:val="heading 1"/>
    <w:basedOn w:val="Normal"/>
    <w:next w:val="Normal"/>
    <w:pPr>
      <w:keepNext/>
      <w:tabs>
        <w:tab w:val="left" w:pos="567"/>
      </w:tabs>
      <w:spacing w:after="180" w:line="280" w:lineRule="auto"/>
      <w:outlineLvl w:val="0"/>
    </w:pPr>
    <w:rPr>
      <w:b/>
      <w:bCs/>
      <w:sz w:val="28"/>
      <w:szCs w:val="28"/>
    </w:rPr>
  </w:style>
  <w:style w:type="paragraph" w:styleId="Judul2">
    <w:name w:val="heading 2"/>
    <w:basedOn w:val="Normal"/>
    <w:next w:val="Normal"/>
    <w:pPr>
      <w:keepNext/>
      <w:widowControl/>
      <w:spacing w:after="180"/>
      <w:outlineLvl w:val="1"/>
    </w:pPr>
    <w:rPr>
      <w:b/>
      <w:bCs/>
    </w:rPr>
  </w:style>
  <w:style w:type="paragraph" w:styleId="Judul3">
    <w:name w:val="heading 3"/>
    <w:basedOn w:val="Normal"/>
    <w:next w:val="Normal"/>
    <w:pPr>
      <w:keepNext/>
      <w:spacing w:before="240" w:after="60"/>
      <w:outlineLvl w:val="2"/>
    </w:pPr>
    <w:rPr>
      <w:rFonts w:ascii="Arial" w:eastAsia="Arial" w:hAnsi="Arial" w:cs="Arial"/>
    </w:rPr>
  </w:style>
  <w:style w:type="paragraph" w:styleId="Judul4">
    <w:name w:val="heading 4"/>
    <w:basedOn w:val="Normal"/>
    <w:next w:val="Normal"/>
    <w:pPr>
      <w:keepNext/>
      <w:spacing w:before="240" w:after="60"/>
      <w:outlineLvl w:val="3"/>
    </w:pPr>
    <w:rPr>
      <w:rFonts w:ascii="Arial" w:eastAsia="Arial" w:hAnsi="Arial" w:cs="Arial"/>
      <w:b/>
      <w:bCs/>
    </w:rPr>
  </w:style>
  <w:style w:type="paragraph" w:styleId="Judul5">
    <w:name w:val="heading 5"/>
    <w:basedOn w:val="Normal"/>
    <w:next w:val="Normal"/>
    <w:pPr>
      <w:spacing w:before="240" w:after="60"/>
      <w:outlineLvl w:val="4"/>
    </w:pPr>
    <w:rPr>
      <w:sz w:val="22"/>
      <w:szCs w:val="22"/>
    </w:rPr>
  </w:style>
  <w:style w:type="paragraph" w:styleId="Judul6">
    <w:name w:val="heading 6"/>
    <w:basedOn w:val="Normal"/>
    <w:next w:val="Normal"/>
    <w:pPr>
      <w:spacing w:before="240" w:after="60"/>
      <w:outlineLvl w:val="5"/>
    </w:pPr>
    <w:rPr>
      <w:i/>
      <w:iCs/>
      <w:sz w:val="22"/>
      <w:szCs w:val="22"/>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basedOn w:val="Normal"/>
    <w:next w:val="Normal"/>
    <w:pPr>
      <w:keepNext/>
      <w:keepLines/>
      <w:spacing w:before="480" w:after="120"/>
    </w:pPr>
    <w:rPr>
      <w:b/>
      <w:bCs/>
      <w:sz w:val="72"/>
      <w:szCs w:val="72"/>
    </w:rPr>
  </w:style>
  <w:style w:type="paragraph" w:styleId="Subjudul">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TeksKomentar">
    <w:name w:val="annotation text"/>
    <w:basedOn w:val="Normal"/>
    <w:link w:val="TeksKomentarKAR"/>
    <w:uiPriority w:val="99"/>
    <w:unhideWhenUsed/>
    <w:rPr>
      <w:sz w:val="20"/>
      <w:szCs w:val="20"/>
    </w:rPr>
  </w:style>
  <w:style w:type="character" w:customStyle="1" w:styleId="TeksKomentarKAR">
    <w:name w:val="Teks Komentar KAR"/>
    <w:basedOn w:val="FontParagrafDefault"/>
    <w:link w:val="TeksKomentar"/>
    <w:uiPriority w:val="99"/>
    <w:rPr>
      <w:sz w:val="20"/>
      <w:szCs w:val="20"/>
    </w:rPr>
  </w:style>
  <w:style w:type="character" w:styleId="ReferensiKomentar">
    <w:name w:val="annotation reference"/>
    <w:basedOn w:val="FontParagrafDefault"/>
    <w:uiPriority w:val="99"/>
    <w:semiHidden/>
    <w:unhideWhenUsed/>
    <w:rPr>
      <w:sz w:val="16"/>
      <w:szCs w:val="16"/>
    </w:rPr>
  </w:style>
  <w:style w:type="paragraph" w:styleId="TeksBalon">
    <w:name w:val="Balloon Text"/>
    <w:basedOn w:val="Normal"/>
    <w:link w:val="TeksBalonKAR"/>
    <w:uiPriority w:val="99"/>
    <w:semiHidden/>
    <w:unhideWhenUsed/>
    <w:rsid w:val="008A7EA1"/>
    <w:rPr>
      <w:rFonts w:ascii="Segoe UI" w:hAnsi="Segoe UI" w:cs="Segoe UI"/>
      <w:sz w:val="18"/>
      <w:szCs w:val="18"/>
    </w:rPr>
  </w:style>
  <w:style w:type="character" w:customStyle="1" w:styleId="TeksBalonKAR">
    <w:name w:val="Teks Balon KAR"/>
    <w:basedOn w:val="FontParagrafDefault"/>
    <w:link w:val="TeksBalon"/>
    <w:uiPriority w:val="99"/>
    <w:semiHidden/>
    <w:rsid w:val="008A7EA1"/>
    <w:rPr>
      <w:rFonts w:ascii="Segoe UI" w:hAnsi="Segoe UI" w:cs="Segoe UI"/>
      <w:sz w:val="18"/>
      <w:szCs w:val="18"/>
    </w:rPr>
  </w:style>
  <w:style w:type="character" w:styleId="Hyperlink">
    <w:name w:val="Hyperlink"/>
    <w:basedOn w:val="FontParagrafDefault"/>
    <w:uiPriority w:val="99"/>
    <w:unhideWhenUsed/>
    <w:rsid w:val="00D65A38"/>
    <w:rPr>
      <w:color w:val="0000FF" w:themeColor="hyperlink"/>
      <w:u w:val="single"/>
    </w:rPr>
  </w:style>
  <w:style w:type="character" w:styleId="SebutanYangBelumTerselesaikan">
    <w:name w:val="Unresolved Mention"/>
    <w:basedOn w:val="FontParagrafDefault"/>
    <w:uiPriority w:val="99"/>
    <w:semiHidden/>
    <w:unhideWhenUsed/>
    <w:rsid w:val="00D65A38"/>
    <w:rPr>
      <w:color w:val="605E5C"/>
      <w:shd w:val="clear" w:color="auto" w:fill="E1DFDD"/>
    </w:rPr>
  </w:style>
  <w:style w:type="paragraph" w:styleId="NormalWeb">
    <w:name w:val="Normal (Web)"/>
    <w:basedOn w:val="Normal"/>
    <w:uiPriority w:val="99"/>
    <w:semiHidden/>
    <w:unhideWhenUsed/>
    <w:rsid w:val="0075196D"/>
  </w:style>
  <w:style w:type="paragraph" w:styleId="SubjekKomentar">
    <w:name w:val="annotation subject"/>
    <w:basedOn w:val="TeksKomentar"/>
    <w:next w:val="TeksKomentar"/>
    <w:link w:val="SubjekKomentarKAR"/>
    <w:uiPriority w:val="99"/>
    <w:semiHidden/>
    <w:unhideWhenUsed/>
    <w:rsid w:val="00971C5E"/>
    <w:rPr>
      <w:b/>
      <w:bCs/>
    </w:rPr>
  </w:style>
  <w:style w:type="character" w:customStyle="1" w:styleId="SubjekKomentarKAR">
    <w:name w:val="Subjek Komentar KAR"/>
    <w:basedOn w:val="TeksKomentarKAR"/>
    <w:link w:val="SubjekKomentar"/>
    <w:uiPriority w:val="99"/>
    <w:semiHidden/>
    <w:rsid w:val="00971C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426755">
      <w:bodyDiv w:val="1"/>
      <w:marLeft w:val="0"/>
      <w:marRight w:val="0"/>
      <w:marTop w:val="0"/>
      <w:marBottom w:val="0"/>
      <w:divBdr>
        <w:top w:val="none" w:sz="0" w:space="0" w:color="auto"/>
        <w:left w:val="none" w:sz="0" w:space="0" w:color="auto"/>
        <w:bottom w:val="none" w:sz="0" w:space="0" w:color="auto"/>
        <w:right w:val="none" w:sz="0" w:space="0" w:color="auto"/>
      </w:divBdr>
    </w:div>
    <w:div w:id="651716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3" Type="http://schemas.openxmlformats.org/officeDocument/2006/relationships/hyperlink" Target="https://www.weather.gov/safety/lightning" TargetMode="External"/><Relationship Id="rId2" Type="http://schemas.openxmlformats.org/officeDocument/2006/relationships/hyperlink" Target="https://www.google.com/search?q=https://doi.org/10.1037/rev0000123" TargetMode="External"/><Relationship Id="rId1" Type="http://schemas.openxmlformats.org/officeDocument/2006/relationships/hyperlink" Target="https://www.google.com/search?q=https://doi.org/xxxx"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5</Pages>
  <Words>2252</Words>
  <Characters>12837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Farhan Aldan Khairian</cp:lastModifiedBy>
  <cp:revision>6</cp:revision>
  <dcterms:created xsi:type="dcterms:W3CDTF">2026-05-18T02:53:00Z</dcterms:created>
  <dcterms:modified xsi:type="dcterms:W3CDTF">2026-05-18T23:49:00Z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0x01010054B2CD8A7C70374D8AFA4F6024C00C08</vt:lpwstr>
  </property>
  <property fmtid="{D5CDD505-2E9C-101B-9397-08002B2CF9AE}" pid="3" name="MediaServiceImageTags">
    <vt:lpwstr>MediaServiceImageTags</vt:lpwstr>
  </property>
  <property fmtid="{D5CDD505-2E9C-101B-9397-08002B2CF9AE}" pid="4" name="GrammarlyDocumentId">
    <vt:lpwstr>1a2880bc-2a20-4bbd-ade0-f322502128c8</vt:lpwstr>
  </property>
</Properties>
</file>