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ind w:right="-7"/>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Work-Family Conflict, Mental Well-Being, and Counseling’s Moderating Role for Professional Women </w:t>
      </w:r>
    </w:p>
    <w:p w:rsidR="00000000" w:rsidDel="00000000" w:rsidP="00000000" w:rsidRDefault="00000000" w:rsidRPr="00000000" w14:paraId="00000002">
      <w:pPr>
        <w:widowControl w:val="0"/>
        <w:spacing w:after="0" w:line="240" w:lineRule="auto"/>
        <w:ind w:right="-7"/>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widowControl w:val="0"/>
        <w:spacing w:after="0" w:line="240" w:lineRule="auto"/>
        <w:ind w:right="-7"/>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4">
      <w:pPr>
        <w:widowControl w:val="0"/>
        <w:spacing w:after="0" w:line="240" w:lineRule="auto"/>
        <w:ind w:right="-7"/>
        <w:jc w:val="center"/>
        <w:rPr>
          <w:rFonts w:ascii="Arial" w:cs="Arial" w:eastAsia="Arial" w:hAnsi="Arial"/>
          <w:sz w:val="24"/>
          <w:szCs w:val="24"/>
          <w:vertAlign w:val="superscript"/>
        </w:rPr>
      </w:pPr>
      <w:r w:rsidDel="00000000" w:rsidR="00000000" w:rsidRPr="00000000">
        <w:rPr>
          <w:rFonts w:ascii="Arial" w:cs="Arial" w:eastAsia="Arial" w:hAnsi="Arial"/>
          <w:sz w:val="24"/>
          <w:szCs w:val="24"/>
          <w:rtl w:val="0"/>
        </w:rPr>
        <w:t xml:space="preserve">Mohd. Shahrul bin Kamaruddin</w:t>
      </w:r>
      <w:r w:rsidDel="00000000" w:rsidR="00000000" w:rsidRPr="00000000">
        <w:rPr>
          <w:rFonts w:ascii="Arial" w:cs="Arial" w:eastAsia="Arial" w:hAnsi="Arial"/>
          <w:sz w:val="24"/>
          <w:szCs w:val="24"/>
          <w:vertAlign w:val="superscript"/>
          <w:rtl w:val="0"/>
        </w:rPr>
        <w:t xml:space="preserve">1*</w:t>
      </w:r>
      <w:r w:rsidDel="00000000" w:rsidR="00000000" w:rsidRPr="00000000">
        <w:rPr>
          <w:rFonts w:ascii="Arial" w:cs="Arial" w:eastAsia="Arial" w:hAnsi="Arial"/>
          <w:sz w:val="24"/>
          <w:szCs w:val="24"/>
          <w:rtl w:val="0"/>
        </w:rPr>
        <w:t xml:space="preserve">, Azzahrah Anuar</w:t>
      </w:r>
      <w:r w:rsidDel="00000000" w:rsidR="00000000" w:rsidRPr="00000000">
        <w:rPr>
          <w:rFonts w:ascii="Arial" w:cs="Arial" w:eastAsia="Arial" w:hAnsi="Arial"/>
          <w:sz w:val="24"/>
          <w:szCs w:val="24"/>
          <w:vertAlign w:val="superscript"/>
          <w:rtl w:val="0"/>
        </w:rPr>
        <w:t xml:space="preserve">2</w:t>
      </w:r>
      <w:r w:rsidDel="00000000" w:rsidR="00000000" w:rsidRPr="00000000">
        <w:rPr>
          <w:rFonts w:ascii="Arial" w:cs="Arial" w:eastAsia="Arial" w:hAnsi="Arial"/>
          <w:sz w:val="24"/>
          <w:szCs w:val="24"/>
          <w:rtl w:val="0"/>
        </w:rPr>
        <w:t xml:space="preserve">, Surena Sabil</w:t>
      </w:r>
      <w:r w:rsidDel="00000000" w:rsidR="00000000" w:rsidRPr="00000000">
        <w:rPr>
          <w:rFonts w:ascii="Arial" w:cs="Arial" w:eastAsia="Arial" w:hAnsi="Arial"/>
          <w:sz w:val="24"/>
          <w:szCs w:val="24"/>
          <w:vertAlign w:val="superscript"/>
          <w:rtl w:val="0"/>
        </w:rPr>
        <w:t xml:space="preserve">3</w:t>
      </w:r>
      <w:r w:rsidDel="00000000" w:rsidR="00000000" w:rsidRPr="00000000">
        <w:rPr>
          <w:rFonts w:ascii="Arial" w:cs="Arial" w:eastAsia="Arial" w:hAnsi="Arial"/>
          <w:sz w:val="24"/>
          <w:szCs w:val="24"/>
          <w:rtl w:val="0"/>
        </w:rPr>
        <w:t xml:space="preserve"> Fatahyah Yahya</w:t>
      </w:r>
      <w:r w:rsidDel="00000000" w:rsidR="00000000" w:rsidRPr="00000000">
        <w:rPr>
          <w:rFonts w:ascii="Arial" w:cs="Arial" w:eastAsia="Arial" w:hAnsi="Arial"/>
          <w:sz w:val="24"/>
          <w:szCs w:val="24"/>
          <w:vertAlign w:val="superscript"/>
          <w:rtl w:val="0"/>
        </w:rPr>
        <w:t xml:space="preserve">4</w:t>
      </w:r>
    </w:p>
    <w:p w:rsidR="00000000" w:rsidDel="00000000" w:rsidP="00000000" w:rsidRDefault="00000000" w:rsidRPr="00000000" w14:paraId="00000005">
      <w:pPr>
        <w:widowControl w:val="0"/>
        <w:spacing w:after="0" w:line="240" w:lineRule="auto"/>
        <w:ind w:right="-7"/>
        <w:jc w:val="center"/>
        <w:rPr>
          <w:rFonts w:ascii="Arial" w:cs="Arial" w:eastAsia="Arial" w:hAnsi="Arial"/>
          <w:sz w:val="24"/>
          <w:szCs w:val="24"/>
          <w:vertAlign w:val="superscript"/>
        </w:rPr>
      </w:pPr>
      <w:r w:rsidDel="00000000" w:rsidR="00000000" w:rsidRPr="00000000">
        <w:rPr>
          <w:rtl w:val="0"/>
        </w:rPr>
      </w:r>
    </w:p>
    <w:p w:rsidR="00000000" w:rsidDel="00000000" w:rsidP="00000000" w:rsidRDefault="00000000" w:rsidRPr="00000000" w14:paraId="00000006">
      <w:pPr>
        <w:widowControl w:val="0"/>
        <w:spacing w:after="0" w:line="240" w:lineRule="auto"/>
        <w:ind w:right="-7"/>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7">
      <w:pPr>
        <w:widowControl w:val="0"/>
        <w:spacing w:after="0" w:line="240" w:lineRule="auto"/>
        <w:ind w:right="-7"/>
        <w:jc w:val="center"/>
        <w:rPr>
          <w:rFonts w:ascii="Arial" w:cs="Arial" w:eastAsia="Arial" w:hAnsi="Arial"/>
          <w:sz w:val="24"/>
          <w:szCs w:val="24"/>
        </w:rPr>
      </w:pPr>
      <w:r w:rsidDel="00000000" w:rsidR="00000000" w:rsidRPr="00000000">
        <w:rPr>
          <w:rFonts w:ascii="Arial" w:cs="Arial" w:eastAsia="Arial" w:hAnsi="Arial"/>
          <w:sz w:val="24"/>
          <w:szCs w:val="24"/>
          <w:vertAlign w:val="superscript"/>
          <w:rtl w:val="0"/>
        </w:rPr>
        <w:t xml:space="preserve">1,</w:t>
      </w:r>
      <w:r w:rsidDel="00000000" w:rsidR="00000000" w:rsidRPr="00000000">
        <w:rPr>
          <w:vertAlign w:val="superscript"/>
          <w:rtl w:val="0"/>
        </w:rPr>
        <w:t xml:space="preserve">2,3</w:t>
      </w:r>
      <w:r w:rsidDel="00000000" w:rsidR="00000000" w:rsidRPr="00000000">
        <w:rPr>
          <w:rFonts w:ascii="Arial" w:cs="Arial" w:eastAsia="Arial" w:hAnsi="Arial"/>
          <w:color w:val="11212d"/>
          <w:sz w:val="21"/>
          <w:szCs w:val="21"/>
          <w:highlight w:val="white"/>
          <w:rtl w:val="0"/>
        </w:rPr>
        <w:t xml:space="preserve"> </w:t>
      </w:r>
      <w:r w:rsidDel="00000000" w:rsidR="00000000" w:rsidRPr="00000000">
        <w:rPr>
          <w:rFonts w:ascii="Arial" w:cs="Arial" w:eastAsia="Arial" w:hAnsi="Arial"/>
          <w:sz w:val="24"/>
          <w:szCs w:val="24"/>
          <w:rtl w:val="0"/>
        </w:rPr>
        <w:t xml:space="preserve">Faculty of Cognitive Sciences and Human Development, UNIMAS, Sarawak, Malaysia</w:t>
      </w:r>
    </w:p>
    <w:p w:rsidR="00000000" w:rsidDel="00000000" w:rsidP="00000000" w:rsidRDefault="00000000" w:rsidRPr="00000000" w14:paraId="00000008">
      <w:pPr>
        <w:widowControl w:val="0"/>
        <w:spacing w:after="0" w:line="240" w:lineRule="auto"/>
        <w:ind w:right="-7"/>
        <w:jc w:val="center"/>
        <w:rPr>
          <w:rFonts w:ascii="Arial" w:cs="Arial" w:eastAsia="Arial" w:hAnsi="Arial"/>
          <w:i w:val="1"/>
          <w:sz w:val="24"/>
          <w:szCs w:val="24"/>
        </w:rPr>
      </w:pPr>
      <w:r w:rsidDel="00000000" w:rsidR="00000000" w:rsidRPr="00000000">
        <w:rPr>
          <w:rFonts w:ascii="Arial" w:cs="Arial" w:eastAsia="Arial" w:hAnsi="Arial"/>
          <w:sz w:val="24"/>
          <w:szCs w:val="24"/>
          <w:vertAlign w:val="superscript"/>
          <w:rtl w:val="0"/>
        </w:rPr>
        <w:t xml:space="preserve">4 </w:t>
      </w:r>
      <w:r w:rsidDel="00000000" w:rsidR="00000000" w:rsidRPr="00000000">
        <w:rPr>
          <w:rFonts w:ascii="Arial" w:cs="Arial" w:eastAsia="Arial" w:hAnsi="Arial"/>
          <w:sz w:val="24"/>
          <w:szCs w:val="24"/>
          <w:rtl w:val="0"/>
        </w:rPr>
        <w:t xml:space="preserve">Kulliyyah of Counselling and Social Sciences, International Islamic University Sultan Abdul Halim Mu’adzam Shah UniSHAMS, Kedah, Malaysia</w:t>
      </w:r>
      <w:r w:rsidDel="00000000" w:rsidR="00000000" w:rsidRPr="00000000">
        <w:rPr>
          <w:rFonts w:ascii="Arial" w:cs="Arial" w:eastAsia="Arial" w:hAnsi="Arial"/>
          <w:i w:val="1"/>
          <w:sz w:val="24"/>
          <w:szCs w:val="24"/>
          <w:rtl w:val="0"/>
        </w:rPr>
        <w:t xml:space="preserve"> </w:t>
      </w:r>
    </w:p>
    <w:p w:rsidR="00000000" w:rsidDel="00000000" w:rsidP="00000000" w:rsidRDefault="00000000" w:rsidRPr="00000000" w14:paraId="00000009">
      <w:pPr>
        <w:widowControl w:val="0"/>
        <w:spacing w:after="120" w:line="240" w:lineRule="auto"/>
        <w:ind w:right="-7"/>
        <w:jc w:val="center"/>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0A">
      <w:pPr>
        <w:widowControl w:val="0"/>
        <w:spacing w:after="120" w:line="240" w:lineRule="auto"/>
        <w:ind w:right="-7"/>
        <w:jc w:val="cente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*Corresponding e-mail</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mshahrul.kamaruddin@gmail.com</w:t>
      </w:r>
    </w:p>
    <w:p w:rsidR="00000000" w:rsidDel="00000000" w:rsidP="00000000" w:rsidRDefault="00000000" w:rsidRPr="00000000" w14:paraId="0000000B">
      <w:pPr>
        <w:widowControl w:val="0"/>
        <w:spacing w:after="0" w:line="240" w:lineRule="auto"/>
        <w:ind w:right="-7"/>
        <w:jc w:val="center"/>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0C">
      <w:pPr>
        <w:widowControl w:val="0"/>
        <w:spacing w:after="0" w:line="240" w:lineRule="auto"/>
        <w:ind w:right="-7"/>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ABSTRAK</w:t>
      </w:r>
    </w:p>
    <w:p w:rsidR="00000000" w:rsidDel="00000000" w:rsidP="00000000" w:rsidRDefault="00000000" w:rsidRPr="00000000" w14:paraId="0000000D">
      <w:pPr>
        <w:widowControl w:val="0"/>
        <w:spacing w:after="0" w:line="240" w:lineRule="auto"/>
        <w:ind w:right="-7"/>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E">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Wanita profesional sering menghadapi cabaran besar dalam mengimbangi kerjaya dan tanggungjawab keluarga, yang boleh mencetuskan konflik antara kedua-dua peranan tersebut. Konflik kerja-keluarga yang tidak diuruskan dengan baik memberi kesan negatif kepada kesejahteraan mental, termasuk tekanan, kebimbangan, dan kemurungan. Namun, kajian mengenai keberkesanan perkhidmatan kaunseling dalam mengurangkan kesan negatif konflik ini terhadap kesihatan mental masih terhad, khususnya dalam konteks Malaysia. Kajian ini bertujuan untuk menyiasat sejauh mana perkhidmatan kaunseling dapat membantu mengurangkan kesan negatif konflik kerja-keluarga terhadap kesihatan mental wanita profesional. Kajian ini melibatkan 362 peserta wanita profesional, dan data dianalisis menggunakan </w:t>
      </w:r>
      <w:r w:rsidDel="00000000" w:rsidR="00000000" w:rsidRPr="00000000">
        <w:rPr>
          <w:rFonts w:ascii="Arial" w:cs="Arial" w:eastAsia="Arial" w:hAnsi="Arial"/>
          <w:i w:val="1"/>
          <w:sz w:val="24"/>
          <w:szCs w:val="24"/>
          <w:rtl w:val="0"/>
        </w:rPr>
        <w:t xml:space="preserve">Structural Equation Modelling</w:t>
      </w:r>
      <w:r w:rsidDel="00000000" w:rsidR="00000000" w:rsidRPr="00000000">
        <w:rPr>
          <w:rFonts w:ascii="Arial" w:cs="Arial" w:eastAsia="Arial" w:hAnsi="Arial"/>
          <w:sz w:val="24"/>
          <w:szCs w:val="24"/>
          <w:rtl w:val="0"/>
        </w:rPr>
        <w:t xml:space="preserve"> (SEM) untuk menguji tiga hipotesis null yang berkaitan. Dapatan kajian menunjukkan bahawa ketiga-tiga hipotesis null ditolak, membuktikan bahawa terdapat hubungan yang signifikan antara konflik kerja-keluarga dan kesihatan mental, serta peranan kaunseling sebagai intervensi yang berkesan dalam mengurangkan kesan negatif konflik tersebut. Hasil kajian menunjukkan bahawa konflik kerja-keluarga memberi kesan negatif yang signifikan kepada kesihatan mental (nilai P = 0.000), perkhidmatan kaunseling memberi kesan positif kepada kesihatan mental (nilai P = 0.017), dan perkhidmatan kaunseling memoderasikan hubungan antara konflik kerja-keluarga dan kesihatan mental (nilai P = 0.000). Kajian ini menyerlahkan kepentingan perkhidmatan kaunseling sebagai medium dalam menangani tekanan akibat konflik kerja-keluarga bagi wanita profesional. Organisasi disarankan untuk menyediakan perkhidmatan kaunseling yang lebih berstruktur serta memperkenalkan dasar kerja yang fleksibel bagi membantu pekerja wanita mencapai keseimbangan antara kerja dan kehidupan peribadi yang lebih baik, sekaligus meningkatkan kesejahteraan keseluruhan mereka.</w:t>
      </w:r>
    </w:p>
    <w:p w:rsidR="00000000" w:rsidDel="00000000" w:rsidP="00000000" w:rsidRDefault="00000000" w:rsidRPr="00000000" w14:paraId="0000000F">
      <w:pPr>
        <w:widowControl w:val="0"/>
        <w:spacing w:line="240" w:lineRule="auto"/>
        <w:ind w:right="-7"/>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4"/>
          <w:szCs w:val="24"/>
          <w:rtl w:val="0"/>
        </w:rPr>
        <w:t xml:space="preserve">Kata kunci</w:t>
      </w:r>
      <w:r w:rsidDel="00000000" w:rsidR="00000000" w:rsidRPr="00000000">
        <w:rPr>
          <w:rFonts w:ascii="Arial" w:cs="Arial" w:eastAsia="Arial" w:hAnsi="Arial"/>
          <w:sz w:val="24"/>
          <w:szCs w:val="24"/>
          <w:rtl w:val="0"/>
        </w:rPr>
        <w:t xml:space="preserve">: konflik kerja-keluarga, kesihatan mental, wanita profesional, perkhidmatan kaunseling, keseimbangan kerja-kehidupan  </w:t>
      </w:r>
      <w:r w:rsidDel="00000000" w:rsidR="00000000" w:rsidRPr="00000000">
        <w:rPr>
          <w:rtl w:val="0"/>
        </w:rPr>
      </w:r>
    </w:p>
    <w:p w:rsidR="00000000" w:rsidDel="00000000" w:rsidP="00000000" w:rsidRDefault="00000000" w:rsidRPr="00000000" w14:paraId="00000010">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Pengenalan</w:t>
      </w:r>
    </w:p>
    <w:p w:rsidR="00000000" w:rsidDel="00000000" w:rsidP="00000000" w:rsidRDefault="00000000" w:rsidRPr="00000000" w14:paraId="0000001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Konflik kerja-keluarga berlaku apabila tuntutan daripada peranan di tempat kerja dan tanggungjawab di rumah tidak dapat diseimbangkan dengan baik, menyebabkan tekanan dan stres yang signifikan. Dalam kalangan wanita profesional, cabaran ini lebih ketara kerana mereka sering berhadapan dengan beban kerja yang tinggi di samping memikul tanggungjawab keluarga sebagai isteri dan ibu. Konflik ini boleh membawa kepada kesan negatif terhadap kesejahteraan mental, seperti kebimbangan, kemurungan, dan keletihan fizikal serta emosi (Greenhaus &amp; Beutell, 1985; Frone, 2003). Kajian menunjukkan bahawa konflik ini bukan sahaja memberi kesan kepada kesejahteraan individu tetapi juga kepada prestasi kerja dan hubungan keluarga, menjadikannya isu kritikal dalam dunia moden yang semakin menuntut produktiviti tinggi (Allen et al., 2020).</w:t>
      </w:r>
    </w:p>
    <w:p w:rsidR="00000000" w:rsidDel="00000000" w:rsidP="00000000" w:rsidRDefault="00000000" w:rsidRPr="00000000" w14:paraId="00000012">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Dalam konteks wanita profesional di Malaysia, cabaran ini menjadi lebih mendesak kerana peranan tradisional yang masih mendominasi tanggungjawab keluarga. Wanita sering diharapkan untuk berjaya dalam kerjaya mereka, sambil terus memikul beban besar dalam menguruskan kehidupan keluarga. Ketidakseimbangan ini boleh menyebabkan tekanan yang berterusan, yang seterusnya menjejaskan prestasi kerja dan hubungan interpersonal, baik di tempat kerja mahupun di rumah (Noor &amp; Mahudin, 2016). Kajian mendapati bahawa perkhidmatan kaunseling berpotensi menjadi alat intervensi penting yang dapat membantu wanita profesional mengurus konflik ini dengan lebih baik. Namun, kajian mengenai peranan kaunseling sebagai moderator antara konflik kerja-keluarga dan kesihatan mental dalam konteks Malaysia masih terhad.</w:t>
      </w:r>
    </w:p>
    <w:p w:rsidR="00000000" w:rsidDel="00000000" w:rsidP="00000000" w:rsidRDefault="00000000" w:rsidRPr="00000000" w14:paraId="00000013">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Perkhidmatan kaunseling berfungsi sebagai satu bentuk sokongan psikologi yang penting dalam menangani kesan konflik kerja-keluarga terhadap kesejahteraan mental. Menurut Frone (2003), sokongan sosial daripada rakan sekerja dan keluarga dapat membantu mengurangkan tekanan psikologi yang dialami oleh individu yang terjebak dalam konflik antara tuntutan kerja dan keluarga. Perkhidmatan kaunseling juga berperanan sebagai moderator yang berkesan dalam mengurangkan kesan negatif konflik kerja-keluarga, membantu individu membangunkan kemahiran pengurusan stres dan strategi coping yang lebih baik (Allen et al., 2020). Di samping itu, perkhidmatan kaunseling memberikan ruang untuk memperbaiki kesejahteraan emosi dan psikologi serta membantu individu menghadapi konflik kerja-keluarga dengan lebih berdaya tahan.</w:t>
      </w:r>
    </w:p>
    <w:p w:rsidR="00000000" w:rsidDel="00000000" w:rsidP="00000000" w:rsidRDefault="00000000" w:rsidRPr="00000000" w14:paraId="00000014">
      <w:pPr>
        <w:ind w:firstLine="720"/>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Kajian ini bertujuan mengisi jurang dalam penyelidikan tempatan dengan meneliti peranan perkhidmatan kaunseling sebagai moderator dalam hubungan antara konflik kerja-keluarga dan kesihatan mental wanita profesional di Malaysia. Fokus utama kajian ini adalah untuk memahami sejauh mana perkhidmatan kaunseling dapat mengurangkan kesan negatif konflik kerja-keluarga terhadap kesejahteraan mental, serta bagaimana intervensi ini dapat membantu wanita profesional menangani cabaran unik dalam mengimbangi tanggungjawab kerjaya dan keluarga. Kajian ini juga memberikan sumbangan penting dalam mengenal pasti faktor sokongan yang mampu meningkatkan kesejahteraan psikologi dan prestasi kerja dalam kalangan wanita profesional, terutamanya dalam persekitaran kerja yang semakin kompetitif dan mencabar.</w:t>
      </w:r>
      <w:r w:rsidDel="00000000" w:rsidR="00000000" w:rsidRPr="00000000">
        <w:rPr>
          <w:rtl w:val="0"/>
        </w:rPr>
      </w:r>
    </w:p>
    <w:p w:rsidR="00000000" w:rsidDel="00000000" w:rsidP="00000000" w:rsidRDefault="00000000" w:rsidRPr="00000000" w14:paraId="00000015">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Sorotan Literatur</w:t>
      </w:r>
    </w:p>
    <w:p w:rsidR="00000000" w:rsidDel="00000000" w:rsidP="00000000" w:rsidRDefault="00000000" w:rsidRPr="00000000" w14:paraId="0000001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Konflik kerja-keluarga merujuk kepada ketidakserasian antara tuntutan kerja dan tanggungjawab keluarga yang boleh menyebabkan ketegangan emosi dan mental (Greenhaus &amp; Beutell, 1985). Konflik ini boleh dibahagikan kepada tiga dimensi iaitu konflik masa, ketegangan, dan kelakuan. Konflik masa berlaku apabila komitmen masa dalam satu peranan menghalang individu daripada memenuhi peranan lain, manakala konflik ketegangan muncul apabila tekanan emosi dari satu peranan mengganggu keupayaan individu untuk berfungsi dengan baik dalam peranan lain. Konflik kelakuan pula terjadi apabila tingkah laku yang diperlukan dalam satu peranan tidak selaras dengan peranan lain (Carlson et al., 2000).</w:t>
      </w:r>
    </w:p>
    <w:p w:rsidR="00000000" w:rsidDel="00000000" w:rsidP="00000000" w:rsidRDefault="00000000" w:rsidRPr="00000000" w14:paraId="00000017">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Kajian terdahulu menunjukkan bahawa konflik kerja-keluarga adalah penyumbang utama kepada tekanan psikologi dan masalah kesihatan mental, seperti kebimbangan, kemurungan, dan ketidakpuasan hidup (Allen et al., 2000). Di Malaysia, wanita profesional menghadapi cabaran yang lebih besar dalam mengimbangi kerjaya dan tanggungjawab keluarga, yang memberikan kesan negatif terhadap kesejahteraan mental mereka (Noor &amp; Mahudin, 2016). Pandemik COVID-19 telah memburukkan lagi situasi ini, apabila lebih ramai individu, terutamanya wanita profesional, terpaksa menguruskan kerja dan keluarga dari rumah, menyebabkan beban berganda yang memberi impak besar kepada kesejahteraan mereka (Shockley et al., 2021; Ismail et al., 2021).</w:t>
      </w:r>
    </w:p>
    <w:p w:rsidR="00000000" w:rsidDel="00000000" w:rsidP="00000000" w:rsidRDefault="00000000" w:rsidRPr="00000000" w14:paraId="00000018">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Kesejahteraan mental merujuk kepada kemampuan individu untuk mengurus tekanan hidup, berfungsi secara berkesan dalam aktiviti harian, dan pulih daripada kesukaran (WHO, 2004). Konflik kerja-keluarga terbukti memberi kesan besar kepada kesejahteraan mental, seperti burnout, kebimbangan, dan kemurungan (Thomas &amp; Ganster, 1995; Noor &amp; Zulkefly, 2010). Individu yang mengalami konflik ini cenderung menghadapi keletihan mental dan emosi yang berterusan, yang boleh memberi kesan negatif kepada kehidupan peribadi dan profesional mereka.</w:t>
      </w:r>
    </w:p>
    <w:p w:rsidR="00000000" w:rsidDel="00000000" w:rsidP="00000000" w:rsidRDefault="00000000" w:rsidRPr="00000000" w14:paraId="00000019">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Perkhidmatan kaunseling telah dikenali sebagai intervensi yang berkesan untuk mengurangkan tekanan psikologi yang disebabkan oleh konflik kerja-keluarga. Perkhidmatan kaunseling membantu individu mengenal pasti punca konflik dan membangunkan strategi coping yang lebih baik untuk menguruskan tekanan (Byron, 2005; Brough &amp; O'Driscoll, 2010). Selain itu, perkhidmatan kaunseling juga memainkan peranan penting dalam membantu wanita profesional mengatasi rasa bersalah akibat ketidakseimbangan antara kerja dan keluarga, dengan membantu mereka memperbaiki keutamaan dan pengurusan masa (O'Connor &amp; Cavanaugh, 2021).</w:t>
      </w:r>
    </w:p>
    <w:p w:rsidR="00000000" w:rsidDel="00000000" w:rsidP="00000000" w:rsidRDefault="00000000" w:rsidRPr="00000000" w14:paraId="0000001A">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Selain perkhidmatan kaunseling individu, banyak organisasi kini melaksanakan program kesejahteraan untuk membantu pekerja menguruskan konflik kerja-keluarga. Program seperti sokongan kesihatan mental dan keseimbangan kerja-hidup terbukti memberi kesan positif terhadap kesejahteraan dan produktiviti pekerja (Allen et al., 2020; Hammer et al., 2015). Program ini juga membolehkan pekerja mengakses kaunseling di tempat kerja, memberikan sokongan tambahan untuk menguruskan tekanan yang timbul daripada kedua-dua peranan kerja dan keluarga (Goh et al., 2022).</w:t>
      </w:r>
    </w:p>
    <w:p w:rsidR="00000000" w:rsidDel="00000000" w:rsidP="00000000" w:rsidRDefault="00000000" w:rsidRPr="00000000" w14:paraId="0000001B">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Secara keseluruhan, kajian menunjukkan bahawa perkhidmatan kaunseling bukan sahaja berfungsi sebagai alat intervensi jangka pendek tetapi juga sebagai penyelesaian jangka panjang untuk meningkatkan kesejahteraan mental. Program kaunseling yang berterusan membantu individu mengenal pasti corak konflik dan membina mekanisme daya tahan yang lebih kuat (Carlson et al., 2000). Kajian lanjut diperlukan untuk menilai keberkesanan perkhidmatan kaunseling dalam konteks budaya yang berbeza serta penerapan teknologi untuk menyediakan perkhidmatan kaunseling yang lebih mudah diakses, terutamanya bagi wanita profesional yang mempunyai tanggungjawab kerja dan keluarga yang besar.</w:t>
      </w:r>
    </w:p>
    <w:p w:rsidR="00000000" w:rsidDel="00000000" w:rsidP="00000000" w:rsidRDefault="00000000" w:rsidRPr="00000000" w14:paraId="0000001C">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Pembentukan Rasional Objektif Kajian</w:t>
      </w:r>
    </w:p>
    <w:p w:rsidR="00000000" w:rsidDel="00000000" w:rsidP="00000000" w:rsidRDefault="00000000" w:rsidRPr="00000000" w14:paraId="0000001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Kajian terdahulu oleh Allen et al. (2000) serta kajian tempatan oleh Noor dan Zulkefly (2010) mendapati bahawa konflik kerja-keluarga memberi kesan negatif terhadap kesihatan mental, termasuk peningkatan kebimbangan, kemurungan, dan tekanan emosi. Namun, hipotesis null bagi objektif pertama menyatakan bahawa konflik kerja-keluarga tidak mempunyai hubungan yang signifikan dengan kesihatan mental. Objektif ini bertujuan menguji sama ada konflik kerja-keluarga benar-benar memberi kesan negatif yang signifikan terhadap kesejahteraan mental individu.</w:t>
      </w:r>
    </w:p>
    <w:p w:rsidR="00000000" w:rsidDel="00000000" w:rsidP="00000000" w:rsidRDefault="00000000" w:rsidRPr="00000000" w14:paraId="0000001E">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Kajian oleh Brough dan O'Driscoll (2010) di Barat dan Hammer et al. (2015) menunjukkan bahawa kaunseling adalah intervensi penting yang dapat meningkatkan kesejahteraan mental individu yang menghadapi konflik kerja-keluarga. Walau bagaimanapun, hipotesis null bagi objektif kedua menyatakan bahawa kaunseling tidak mempunyai kesan signifikan terhadap kesihatan mental, yang menolak bahawa kaunseling mampu memperbaiki kesejahteraan mental individu secara nyata.</w:t>
      </w:r>
    </w:p>
    <w:p w:rsidR="00000000" w:rsidDel="00000000" w:rsidP="00000000" w:rsidRDefault="00000000" w:rsidRPr="00000000" w14:paraId="0000001F">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Kajian oleh Frone (2003) dan Byron (2005) menunjukkan bahawa kaunseling boleh bertindak sebagai moderator yang berkesan dalam mengurangkan kesan negatif konflik kerja-keluarga terhadap kesihatan mental. Namun, hipotesis null bagi objektif ketiga menyatakan bahawa perkhidmatan kaunseling tidak memoderasikan hubungan antara konflik kerja-keluarga dan kesihatan mental, yang bermaksud kaunseling tidak mengurangkan impak konflik tersebut terhadap kesejahteraan mental. Berdasarkan kajian tersebut, tiga objektif kajian dan hipotesis null telah dibentuk untuk diuji melalui data yang dikumpulkan daripada wanita profesional di Malaysia:</w:t>
      </w:r>
    </w:p>
    <w:p w:rsidR="00000000" w:rsidDel="00000000" w:rsidP="00000000" w:rsidRDefault="00000000" w:rsidRPr="00000000" w14:paraId="00000020">
      <w:pPr>
        <w:ind w:left="360" w:firstLine="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Objektif 1</w:t>
      </w:r>
      <w:r w:rsidDel="00000000" w:rsidR="00000000" w:rsidRPr="00000000">
        <w:rPr>
          <w:rFonts w:ascii="Arial" w:cs="Arial" w:eastAsia="Arial" w:hAnsi="Arial"/>
          <w:sz w:val="24"/>
          <w:szCs w:val="24"/>
          <w:rtl w:val="0"/>
        </w:rPr>
        <w:t xml:space="preserve">: Mengkaji hubungan antara Konflik Kerja-Keluarga dan Kesihatan Mental wanita profesional.</w:t>
      </w:r>
    </w:p>
    <w:p w:rsidR="00000000" w:rsidDel="00000000" w:rsidP="00000000" w:rsidRDefault="00000000" w:rsidRPr="00000000" w14:paraId="00000021">
      <w:pPr>
        <w:numPr>
          <w:ilvl w:val="0"/>
          <w:numId w:val="1"/>
        </w:numPr>
        <w:ind w:left="720" w:hanging="36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H</w:t>
      </w:r>
      <w:r w:rsidDel="00000000" w:rsidR="00000000" w:rsidRPr="00000000">
        <w:rPr>
          <w:rFonts w:ascii="Cambria Math" w:cs="Cambria Math" w:eastAsia="Cambria Math" w:hAnsi="Cambria Math"/>
          <w:b w:val="1"/>
          <w:sz w:val="24"/>
          <w:szCs w:val="24"/>
          <w:rtl w:val="0"/>
        </w:rPr>
        <w:t xml:space="preserve">₀</w:t>
      </w:r>
      <w:r w:rsidDel="00000000" w:rsidR="00000000" w:rsidRPr="00000000">
        <w:rPr>
          <w:rFonts w:ascii="Arial" w:cs="Arial" w:eastAsia="Arial" w:hAnsi="Arial"/>
          <w:b w:val="1"/>
          <w:sz w:val="24"/>
          <w:szCs w:val="24"/>
          <w:rtl w:val="0"/>
        </w:rPr>
        <w:t xml:space="preserve">1</w:t>
      </w:r>
      <w:r w:rsidDel="00000000" w:rsidR="00000000" w:rsidRPr="00000000">
        <w:rPr>
          <w:rFonts w:ascii="Arial" w:cs="Arial" w:eastAsia="Arial" w:hAnsi="Arial"/>
          <w:sz w:val="24"/>
          <w:szCs w:val="24"/>
          <w:rtl w:val="0"/>
        </w:rPr>
        <w:t xml:space="preserve">: Konflik Kerja-Keluarga tidak mempunyai kesan signifikan terhadap Kesihatan Mental wanita profesional.</w:t>
      </w:r>
    </w:p>
    <w:p w:rsidR="00000000" w:rsidDel="00000000" w:rsidP="00000000" w:rsidRDefault="00000000" w:rsidRPr="00000000" w14:paraId="00000022">
      <w:pPr>
        <w:ind w:left="360" w:firstLine="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Objektif 2</w:t>
      </w:r>
      <w:r w:rsidDel="00000000" w:rsidR="00000000" w:rsidRPr="00000000">
        <w:rPr>
          <w:rFonts w:ascii="Arial" w:cs="Arial" w:eastAsia="Arial" w:hAnsi="Arial"/>
          <w:sz w:val="24"/>
          <w:szCs w:val="24"/>
          <w:rtl w:val="0"/>
        </w:rPr>
        <w:t xml:space="preserve">: Mengkaji hubungan Perkhidmatan Kaunseling terhadap Kesihatan Mental wanita profesional.</w:t>
      </w:r>
    </w:p>
    <w:p w:rsidR="00000000" w:rsidDel="00000000" w:rsidP="00000000" w:rsidRDefault="00000000" w:rsidRPr="00000000" w14:paraId="00000023">
      <w:pPr>
        <w:numPr>
          <w:ilvl w:val="0"/>
          <w:numId w:val="2"/>
        </w:numPr>
        <w:ind w:left="720" w:hanging="36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H</w:t>
      </w:r>
      <w:r w:rsidDel="00000000" w:rsidR="00000000" w:rsidRPr="00000000">
        <w:rPr>
          <w:rFonts w:ascii="Cambria Math" w:cs="Cambria Math" w:eastAsia="Cambria Math" w:hAnsi="Cambria Math"/>
          <w:b w:val="1"/>
          <w:sz w:val="24"/>
          <w:szCs w:val="24"/>
          <w:rtl w:val="0"/>
        </w:rPr>
        <w:t xml:space="preserve">₀</w:t>
      </w:r>
      <w:r w:rsidDel="00000000" w:rsidR="00000000" w:rsidRPr="00000000">
        <w:rPr>
          <w:rFonts w:ascii="Arial" w:cs="Arial" w:eastAsia="Arial" w:hAnsi="Arial"/>
          <w:b w:val="1"/>
          <w:sz w:val="24"/>
          <w:szCs w:val="24"/>
          <w:rtl w:val="0"/>
        </w:rPr>
        <w:t xml:space="preserve">2</w:t>
      </w:r>
      <w:r w:rsidDel="00000000" w:rsidR="00000000" w:rsidRPr="00000000">
        <w:rPr>
          <w:rFonts w:ascii="Arial" w:cs="Arial" w:eastAsia="Arial" w:hAnsi="Arial"/>
          <w:sz w:val="24"/>
          <w:szCs w:val="24"/>
          <w:rtl w:val="0"/>
        </w:rPr>
        <w:t xml:space="preserve">: Perkhidmatan Kaunseling tidak memberi kesan signifikan terhadap kesihatan mental individu wanita profesional.</w:t>
      </w:r>
    </w:p>
    <w:p w:rsidR="00000000" w:rsidDel="00000000" w:rsidP="00000000" w:rsidRDefault="00000000" w:rsidRPr="00000000" w14:paraId="00000024">
      <w:pPr>
        <w:ind w:left="360" w:firstLine="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Objektif 3</w:t>
      </w:r>
      <w:r w:rsidDel="00000000" w:rsidR="00000000" w:rsidRPr="00000000">
        <w:rPr>
          <w:rFonts w:ascii="Arial" w:cs="Arial" w:eastAsia="Arial" w:hAnsi="Arial"/>
          <w:sz w:val="24"/>
          <w:szCs w:val="24"/>
          <w:rtl w:val="0"/>
        </w:rPr>
        <w:t xml:space="preserve">: Menentukan sama ada Perkhidmatan Kaunseling memoderasikan hubungan antara Konflik Kerja-Keluarga dan Kesihatan Mental wanita profesional.</w:t>
      </w:r>
    </w:p>
    <w:p w:rsidR="00000000" w:rsidDel="00000000" w:rsidP="00000000" w:rsidRDefault="00000000" w:rsidRPr="00000000" w14:paraId="00000025">
      <w:pPr>
        <w:numPr>
          <w:ilvl w:val="0"/>
          <w:numId w:val="3"/>
        </w:numPr>
        <w:ind w:left="720" w:hanging="36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H</w:t>
      </w:r>
      <w:r w:rsidDel="00000000" w:rsidR="00000000" w:rsidRPr="00000000">
        <w:rPr>
          <w:rFonts w:ascii="Cambria Math" w:cs="Cambria Math" w:eastAsia="Cambria Math" w:hAnsi="Cambria Math"/>
          <w:b w:val="1"/>
          <w:sz w:val="24"/>
          <w:szCs w:val="24"/>
          <w:rtl w:val="0"/>
        </w:rPr>
        <w:t xml:space="preserve">₀</w:t>
      </w:r>
      <w:r w:rsidDel="00000000" w:rsidR="00000000" w:rsidRPr="00000000">
        <w:rPr>
          <w:rFonts w:ascii="Arial" w:cs="Arial" w:eastAsia="Arial" w:hAnsi="Arial"/>
          <w:b w:val="1"/>
          <w:sz w:val="24"/>
          <w:szCs w:val="24"/>
          <w:rtl w:val="0"/>
        </w:rPr>
        <w:t xml:space="preserve">3</w:t>
      </w:r>
      <w:r w:rsidDel="00000000" w:rsidR="00000000" w:rsidRPr="00000000">
        <w:rPr>
          <w:rFonts w:ascii="Arial" w:cs="Arial" w:eastAsia="Arial" w:hAnsi="Arial"/>
          <w:sz w:val="24"/>
          <w:szCs w:val="24"/>
          <w:rtl w:val="0"/>
        </w:rPr>
        <w:t xml:space="preserve">: Perkhidmatan Kaunseling tidak memoderasikan hubungan antara Konflik Kerja-Keluarga dan Kesihatan Mental wanita profesional.</w:t>
      </w:r>
    </w:p>
    <w:p w:rsidR="00000000" w:rsidDel="00000000" w:rsidP="00000000" w:rsidRDefault="00000000" w:rsidRPr="00000000" w14:paraId="00000026">
      <w:pPr>
        <w:ind w:left="3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Kajian ini akan menguji kesemua hipotesis null untuk melihat sama ada hubungan yang signifikan wujud antara pembolehubah dalam kalangan wanita profesional di Malaysia.</w:t>
      </w:r>
    </w:p>
    <w:p w:rsidR="00000000" w:rsidDel="00000000" w:rsidP="00000000" w:rsidRDefault="00000000" w:rsidRPr="00000000" w14:paraId="00000027">
      <w:pPr>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8">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Metodologi</w:t>
      </w:r>
    </w:p>
    <w:p w:rsidR="00000000" w:rsidDel="00000000" w:rsidP="00000000" w:rsidRDefault="00000000" w:rsidRPr="00000000" w14:paraId="0000002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Kajian ini menggunakan pendekatan kuantitatif untuk menyelidik hubungan antara konflik kerja-keluarga, sokongan sosial, dan kesihatan mental dalam kalangan wanita profesional di MARA. Pendekatan ini dipilih kerana ia membolehkan analisis statistik mendalam terhadap hubungan kompleks antara pembolehubah, termasuk kesan moderator keperluan perkhidmatan kaunseling. Kajian menggunakan </w:t>
      </w:r>
      <w:r w:rsidDel="00000000" w:rsidR="00000000" w:rsidRPr="00000000">
        <w:rPr>
          <w:rFonts w:ascii="Arial" w:cs="Arial" w:eastAsia="Arial" w:hAnsi="Arial"/>
          <w:i w:val="1"/>
          <w:sz w:val="24"/>
          <w:szCs w:val="24"/>
          <w:rtl w:val="0"/>
        </w:rPr>
        <w:t xml:space="preserve">Structural Equation Modelling (SEM)</w:t>
      </w:r>
      <w:r w:rsidDel="00000000" w:rsidR="00000000" w:rsidRPr="00000000">
        <w:rPr>
          <w:rFonts w:ascii="Arial" w:cs="Arial" w:eastAsia="Arial" w:hAnsi="Arial"/>
          <w:sz w:val="24"/>
          <w:szCs w:val="24"/>
          <w:rtl w:val="0"/>
        </w:rPr>
        <w:t xml:space="preserve"> sebagai kaedah utama untuk menguji model hubungan yang dikemukakan.</w:t>
      </w:r>
    </w:p>
    <w:p w:rsidR="00000000" w:rsidDel="00000000" w:rsidP="00000000" w:rsidRDefault="00000000" w:rsidRPr="00000000" w14:paraId="0000002A">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Sampel dan Prosedur Persampelan</w:t>
      </w:r>
    </w:p>
    <w:p w:rsidR="00000000" w:rsidDel="00000000" w:rsidP="00000000" w:rsidRDefault="00000000" w:rsidRPr="00000000" w14:paraId="0000002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Kajian melibatkan 362 responden wanita profesional di salah sebuah badan berkanun menggunakan persampelan berkelompok. Jabatan dipilih secara rawak, dan semua wanita profesional dalam jabatan tersebut dijadikan responden kajian. Kaedah ini memastikan keterwakilan yang baik, meningkatkan kebolehpercayaan hasil kajian dengan fokus kepada pelbagai latar belakang tugas.</w:t>
      </w:r>
    </w:p>
    <w:p w:rsidR="00000000" w:rsidDel="00000000" w:rsidP="00000000" w:rsidRDefault="00000000" w:rsidRPr="00000000" w14:paraId="0000002C">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D">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Instrumen Kajian</w:t>
      </w:r>
    </w:p>
    <w:p w:rsidR="00000000" w:rsidDel="00000000" w:rsidP="00000000" w:rsidRDefault="00000000" w:rsidRPr="00000000" w14:paraId="0000002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Konflik Kerja-Keluarga diukur menggunakan </w:t>
      </w:r>
      <w:r w:rsidDel="00000000" w:rsidR="00000000" w:rsidRPr="00000000">
        <w:rPr>
          <w:rFonts w:ascii="Arial" w:cs="Arial" w:eastAsia="Arial" w:hAnsi="Arial"/>
          <w:i w:val="1"/>
          <w:sz w:val="24"/>
          <w:szCs w:val="24"/>
          <w:rtl w:val="0"/>
        </w:rPr>
        <w:t xml:space="preserve">Work-Family Conflict Scale</w:t>
      </w:r>
      <w:r w:rsidDel="00000000" w:rsidR="00000000" w:rsidRPr="00000000">
        <w:rPr>
          <w:rFonts w:ascii="Arial" w:cs="Arial" w:eastAsia="Arial" w:hAnsi="Arial"/>
          <w:sz w:val="24"/>
          <w:szCs w:val="24"/>
          <w:rtl w:val="0"/>
        </w:rPr>
        <w:t xml:space="preserve"> (Gutek et al., 1991), yang diterjemahkan oleh Noor Adilah Adnan (2013) dengan nilai </w:t>
      </w:r>
      <w:r w:rsidDel="00000000" w:rsidR="00000000" w:rsidRPr="00000000">
        <w:rPr>
          <w:rFonts w:ascii="Arial" w:cs="Arial" w:eastAsia="Arial" w:hAnsi="Arial"/>
          <w:i w:val="1"/>
          <w:sz w:val="24"/>
          <w:szCs w:val="24"/>
          <w:rtl w:val="0"/>
        </w:rPr>
        <w:t xml:space="preserve">Cronbach's alpha</w:t>
      </w:r>
      <w:r w:rsidDel="00000000" w:rsidR="00000000" w:rsidRPr="00000000">
        <w:rPr>
          <w:rFonts w:ascii="Arial" w:cs="Arial" w:eastAsia="Arial" w:hAnsi="Arial"/>
          <w:sz w:val="24"/>
          <w:szCs w:val="24"/>
          <w:rtl w:val="0"/>
        </w:rPr>
        <w:t xml:space="preserve"> 0.78 dan indeks konsistensi dalaman 0.9. Manakala Kesihatan Mental diukur menggunakan </w:t>
      </w:r>
      <w:r w:rsidDel="00000000" w:rsidR="00000000" w:rsidRPr="00000000">
        <w:rPr>
          <w:rFonts w:ascii="Arial" w:cs="Arial" w:eastAsia="Arial" w:hAnsi="Arial"/>
          <w:i w:val="1"/>
          <w:sz w:val="24"/>
          <w:szCs w:val="24"/>
          <w:rtl w:val="0"/>
        </w:rPr>
        <w:t xml:space="preserve">General Health Questionnaire (GHQ-12)</w:t>
      </w:r>
      <w:r w:rsidDel="00000000" w:rsidR="00000000" w:rsidRPr="00000000">
        <w:rPr>
          <w:rFonts w:ascii="Arial" w:cs="Arial" w:eastAsia="Arial" w:hAnsi="Arial"/>
          <w:sz w:val="24"/>
          <w:szCs w:val="24"/>
          <w:rtl w:val="0"/>
        </w:rPr>
        <w:t xml:space="preserve"> (Goldberg, 1972), dengan </w:t>
      </w:r>
      <w:r w:rsidDel="00000000" w:rsidR="00000000" w:rsidRPr="00000000">
        <w:rPr>
          <w:rFonts w:ascii="Arial" w:cs="Arial" w:eastAsia="Arial" w:hAnsi="Arial"/>
          <w:i w:val="1"/>
          <w:sz w:val="24"/>
          <w:szCs w:val="24"/>
          <w:rtl w:val="0"/>
        </w:rPr>
        <w:t xml:space="preserve">Cronbach's alpha</w:t>
      </w:r>
      <w:r w:rsidDel="00000000" w:rsidR="00000000" w:rsidRPr="00000000">
        <w:rPr>
          <w:rFonts w:ascii="Arial" w:cs="Arial" w:eastAsia="Arial" w:hAnsi="Arial"/>
          <w:sz w:val="24"/>
          <w:szCs w:val="24"/>
          <w:rtl w:val="0"/>
        </w:rPr>
        <w:t xml:space="preserve"> 0.9 dan indeks konsistensi dalaman 0.85 (El-Metwally et al., 2018; Farhan, 2021). Seterusnya, Perkhidmatan Kaunseling diukur menggunakan </w:t>
      </w:r>
      <w:r w:rsidDel="00000000" w:rsidR="00000000" w:rsidRPr="00000000">
        <w:rPr>
          <w:rFonts w:ascii="Arial" w:cs="Arial" w:eastAsia="Arial" w:hAnsi="Arial"/>
          <w:i w:val="1"/>
          <w:sz w:val="24"/>
          <w:szCs w:val="24"/>
          <w:rtl w:val="0"/>
        </w:rPr>
        <w:t xml:space="preserve">Attitudes Towards Seeking Professional Psychological Help </w:t>
      </w:r>
      <w:r w:rsidDel="00000000" w:rsidR="00000000" w:rsidRPr="00000000">
        <w:rPr>
          <w:rFonts w:ascii="Arial" w:cs="Arial" w:eastAsia="Arial" w:hAnsi="Arial"/>
          <w:sz w:val="24"/>
          <w:szCs w:val="24"/>
          <w:rtl w:val="0"/>
        </w:rPr>
        <w:t xml:space="preserve">(Fischer &amp; Farina, 1995), dengan </w:t>
      </w:r>
      <w:r w:rsidDel="00000000" w:rsidR="00000000" w:rsidRPr="00000000">
        <w:rPr>
          <w:rFonts w:ascii="Arial" w:cs="Arial" w:eastAsia="Arial" w:hAnsi="Arial"/>
          <w:i w:val="1"/>
          <w:sz w:val="24"/>
          <w:szCs w:val="24"/>
          <w:rtl w:val="0"/>
        </w:rPr>
        <w:t xml:space="preserve">Cronbach's alpha</w:t>
      </w:r>
      <w:r w:rsidDel="00000000" w:rsidR="00000000" w:rsidRPr="00000000">
        <w:rPr>
          <w:rFonts w:ascii="Arial" w:cs="Arial" w:eastAsia="Arial" w:hAnsi="Arial"/>
          <w:sz w:val="24"/>
          <w:szCs w:val="24"/>
          <w:rtl w:val="0"/>
        </w:rPr>
        <w:t xml:space="preserve"> 0.9 dan indeks konsistensi dalaman 0.87 (Noor Adilah Adnan, 2013).</w:t>
      </w:r>
    </w:p>
    <w:p w:rsidR="00000000" w:rsidDel="00000000" w:rsidP="00000000" w:rsidRDefault="00000000" w:rsidRPr="00000000" w14:paraId="0000002F">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Proses Pengumpulan Data</w:t>
      </w:r>
    </w:p>
    <w:p w:rsidR="00000000" w:rsidDel="00000000" w:rsidP="00000000" w:rsidRDefault="00000000" w:rsidRPr="00000000" w14:paraId="00000030">
      <w:pPr>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Data dikumpul melalui soal selidik bersemuka dan dalam talian menggunakan </w:t>
      </w:r>
      <w:r w:rsidDel="00000000" w:rsidR="00000000" w:rsidRPr="00000000">
        <w:rPr>
          <w:rFonts w:ascii="Arial" w:cs="Arial" w:eastAsia="Arial" w:hAnsi="Arial"/>
          <w:i w:val="1"/>
          <w:sz w:val="24"/>
          <w:szCs w:val="24"/>
          <w:rtl w:val="0"/>
        </w:rPr>
        <w:t xml:space="preserve">Google Form,</w:t>
      </w:r>
      <w:r w:rsidDel="00000000" w:rsidR="00000000" w:rsidRPr="00000000">
        <w:rPr>
          <w:rFonts w:ascii="Arial" w:cs="Arial" w:eastAsia="Arial" w:hAnsi="Arial"/>
          <w:sz w:val="24"/>
          <w:szCs w:val="24"/>
          <w:rtl w:val="0"/>
        </w:rPr>
        <w:t xml:space="preserve"> dengan responden diberikan masa dua minggu untuk melengkapkan soal selidik. Peringatan dihantar pada minggu pertama bagi menggalakkan penyertaan, dan keseluruhan data dikumpul dalam tempoh tiga minggu</w:t>
      </w:r>
      <w:r w:rsidDel="00000000" w:rsidR="00000000" w:rsidRPr="00000000">
        <w:rPr>
          <w:rFonts w:ascii="Arial" w:cs="Arial" w:eastAsia="Arial" w:hAnsi="Arial"/>
          <w:b w:val="1"/>
          <w:sz w:val="24"/>
          <w:szCs w:val="24"/>
          <w:rtl w:val="0"/>
        </w:rPr>
        <w:t xml:space="preserve">.</w:t>
      </w:r>
    </w:p>
    <w:p w:rsidR="00000000" w:rsidDel="00000000" w:rsidP="00000000" w:rsidRDefault="00000000" w:rsidRPr="00000000" w14:paraId="00000031">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Analisis Data</w:t>
      </w:r>
    </w:p>
    <w:p w:rsidR="00000000" w:rsidDel="00000000" w:rsidP="00000000" w:rsidRDefault="00000000" w:rsidRPr="00000000" w14:paraId="0000003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Data dianalisis menggunakan SEM dalam dua fasa iaitu analisis faktor pengesahan (CFA) untuk menilai kesesuaian model pengukuran dan memastikan kebolehpercayaan serta kesahihan konstruk. Seterusnya analisis model struktural untuk menilai hubungan antara konflik kerja-keluarga, kesihatan mental, dan peranan kaunseling sebagai moderator.</w:t>
      </w:r>
    </w:p>
    <w:p w:rsidR="00000000" w:rsidDel="00000000" w:rsidP="00000000" w:rsidRDefault="00000000" w:rsidRPr="00000000" w14:paraId="00000033">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Etika Penyelidikan</w:t>
      </w:r>
    </w:p>
    <w:p w:rsidR="00000000" w:rsidDel="00000000" w:rsidP="00000000" w:rsidRDefault="00000000" w:rsidRPr="00000000" w14:paraId="0000003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Kajian mematuhi garis panduan etika, dengan responden diberi penerangan mengenai tujuan kajian dan penyertaan mereka adalah sukarela. Kerahsiaan maklumat peribadi responden dijaga, dan persetujuan bertulis diperoleh sebelum pengedaran soal selidik. Walaupun menggunakan sampel besar dan kaedah SEM yang kukuh, kajian ini hanya tertumpu kepada wanita profesional di sebuah badan berkanun, yang mungkin mengehadkan generalisasi hasil kajian kepada populasi wanita profesional lain.</w:t>
      </w:r>
    </w:p>
    <w:p w:rsidR="00000000" w:rsidDel="00000000" w:rsidP="00000000" w:rsidRDefault="00000000" w:rsidRPr="00000000" w14:paraId="00000035">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Penilaian Kesahan Kandungan </w:t>
      </w:r>
    </w:p>
    <w:p w:rsidR="00000000" w:rsidDel="00000000" w:rsidP="00000000" w:rsidRDefault="00000000" w:rsidRPr="00000000" w14:paraId="0000003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Penilaian kesahan kandungan melibatkan pakar untuk memastikan soalan benar-benar mengukur konstruk kajian. Menurut Lynn (1986), pakar menilai setiap soalan untuk memastikan kesesuaiannya dengan objektif kajian, manakala DeVellis (2017) menekankan kepentingan ujian soalan terhadap sampel responden untuk memastikan instrumen difahami dan memberikan respons yang relevan.</w:t>
      </w:r>
    </w:p>
    <w:p w:rsidR="00000000" w:rsidDel="00000000" w:rsidP="00000000" w:rsidRDefault="00000000" w:rsidRPr="00000000" w14:paraId="00000037">
      <w:pPr>
        <w:ind w:firstLine="72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8">
      <w:pPr>
        <w:spacing w:after="0"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Jadual 1</w:t>
      </w:r>
    </w:p>
    <w:p w:rsidR="00000000" w:rsidDel="00000000" w:rsidP="00000000" w:rsidRDefault="00000000" w:rsidRPr="00000000" w14:paraId="00000039">
      <w:pPr>
        <w:spacing w:after="0" w:line="276"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Senarai Pakar Kesahan Kandungan Bagi Instrument</w:t>
      </w:r>
    </w:p>
    <w:p w:rsidR="00000000" w:rsidDel="00000000" w:rsidP="00000000" w:rsidRDefault="00000000" w:rsidRPr="00000000" w14:paraId="0000003A">
      <w:pPr>
        <w:spacing w:after="0" w:line="276" w:lineRule="auto"/>
        <w:ind w:firstLine="720"/>
        <w:jc w:val="both"/>
        <w:rPr>
          <w:rFonts w:ascii="Arial" w:cs="Arial" w:eastAsia="Arial" w:hAnsi="Arial"/>
          <w:sz w:val="24"/>
          <w:szCs w:val="24"/>
        </w:rPr>
      </w:pPr>
      <w:r w:rsidDel="00000000" w:rsidR="00000000" w:rsidRPr="00000000">
        <w:rPr>
          <w:rtl w:val="0"/>
        </w:rPr>
      </w:r>
    </w:p>
    <w:tbl>
      <w:tblPr>
        <w:tblStyle w:val="Table1"/>
        <w:tblW w:w="899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70"/>
        <w:gridCol w:w="2205"/>
        <w:gridCol w:w="1540"/>
        <w:gridCol w:w="1364"/>
        <w:gridCol w:w="1630"/>
        <w:gridCol w:w="1390"/>
        <w:tblGridChange w:id="0">
          <w:tblGrid>
            <w:gridCol w:w="870"/>
            <w:gridCol w:w="2205"/>
            <w:gridCol w:w="1540"/>
            <w:gridCol w:w="1364"/>
            <w:gridCol w:w="1630"/>
            <w:gridCol w:w="1390"/>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3B">
            <w:pPr>
              <w:spacing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Pakar</w:t>
            </w:r>
          </w:p>
        </w:tc>
        <w:tc>
          <w:tcPr>
            <w:tcBorders>
              <w:top w:color="000000" w:space="0" w:sz="4" w:val="single"/>
              <w:bottom w:color="000000" w:space="0" w:sz="4" w:val="single"/>
            </w:tcBorders>
          </w:tcPr>
          <w:p w:rsidR="00000000" w:rsidDel="00000000" w:rsidP="00000000" w:rsidRDefault="00000000" w:rsidRPr="00000000" w14:paraId="0000003C">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Jawatan &amp; Kelayakan Akademik</w:t>
            </w:r>
          </w:p>
        </w:tc>
        <w:tc>
          <w:tcPr>
            <w:tcBorders>
              <w:top w:color="000000" w:space="0" w:sz="4" w:val="single"/>
              <w:bottom w:color="000000" w:space="0" w:sz="4" w:val="single"/>
            </w:tcBorders>
          </w:tcPr>
          <w:p w:rsidR="00000000" w:rsidDel="00000000" w:rsidP="00000000" w:rsidRDefault="00000000" w:rsidRPr="00000000" w14:paraId="0000003D">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Bidang kepakaran</w:t>
            </w:r>
          </w:p>
        </w:tc>
        <w:tc>
          <w:tcPr>
            <w:tcBorders>
              <w:top w:color="000000" w:space="0" w:sz="4" w:val="single"/>
              <w:bottom w:color="000000" w:space="0" w:sz="4" w:val="single"/>
            </w:tcBorders>
          </w:tcPr>
          <w:p w:rsidR="00000000" w:rsidDel="00000000" w:rsidP="00000000" w:rsidRDefault="00000000" w:rsidRPr="00000000" w14:paraId="0000003E">
            <w:pPr>
              <w:spacing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Institusi</w:t>
            </w:r>
          </w:p>
        </w:tc>
        <w:tc>
          <w:tcPr>
            <w:tcBorders>
              <w:top w:color="000000" w:space="0" w:sz="4" w:val="single"/>
              <w:bottom w:color="000000" w:space="0" w:sz="4" w:val="single"/>
            </w:tcBorders>
          </w:tcPr>
          <w:p w:rsidR="00000000" w:rsidDel="00000000" w:rsidP="00000000" w:rsidRDefault="00000000" w:rsidRPr="00000000" w14:paraId="0000003F">
            <w:pPr>
              <w:spacing w:line="27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Tempoh Pengalaman</w:t>
            </w:r>
          </w:p>
        </w:tc>
        <w:tc>
          <w:tcPr>
            <w:tcBorders>
              <w:top w:color="000000" w:space="0" w:sz="4" w:val="single"/>
              <w:bottom w:color="000000" w:space="0" w:sz="4" w:val="single"/>
            </w:tcBorders>
          </w:tcPr>
          <w:p w:rsidR="00000000" w:rsidDel="00000000" w:rsidP="00000000" w:rsidRDefault="00000000" w:rsidRPr="00000000" w14:paraId="00000040">
            <w:pPr>
              <w:spacing w:line="27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Kaunselor Berdaftar</w:t>
            </w:r>
          </w:p>
        </w:tc>
      </w:tr>
      <w:tr>
        <w:trPr>
          <w:cantSplit w:val="0"/>
          <w:tblHeader w:val="0"/>
        </w:trPr>
        <w:tc>
          <w:tcPr>
            <w:tcBorders>
              <w:top w:color="000000" w:space="0" w:sz="4" w:val="single"/>
            </w:tcBorders>
          </w:tcPr>
          <w:p w:rsidR="00000000" w:rsidDel="00000000" w:rsidP="00000000" w:rsidRDefault="00000000" w:rsidRPr="00000000" w14:paraId="00000041">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tcBorders>
              <w:top w:color="000000" w:space="0" w:sz="4" w:val="single"/>
            </w:tcBorders>
          </w:tcPr>
          <w:p w:rsidR="00000000" w:rsidDel="00000000" w:rsidP="00000000" w:rsidRDefault="00000000" w:rsidRPr="00000000" w14:paraId="0000004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Pensyarah Kanan</w:t>
            </w:r>
          </w:p>
          <w:p w:rsidR="00000000" w:rsidDel="00000000" w:rsidP="00000000" w:rsidRDefault="00000000" w:rsidRPr="00000000" w14:paraId="0000004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(Profesor, PhD)</w:t>
            </w:r>
          </w:p>
        </w:tc>
        <w:tc>
          <w:tcPr>
            <w:tcBorders>
              <w:top w:color="000000" w:space="0" w:sz="4" w:val="single"/>
            </w:tcBorders>
          </w:tcPr>
          <w:p w:rsidR="00000000" w:rsidDel="00000000" w:rsidP="00000000" w:rsidRDefault="00000000" w:rsidRPr="00000000" w14:paraId="0000004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Bimbingan &amp; Kaunseling </w:t>
            </w:r>
          </w:p>
        </w:tc>
        <w:tc>
          <w:tcPr>
            <w:tcBorders>
              <w:top w:color="000000" w:space="0" w:sz="4" w:val="single"/>
            </w:tcBorders>
          </w:tcPr>
          <w:p w:rsidR="00000000" w:rsidDel="00000000" w:rsidP="00000000" w:rsidRDefault="00000000" w:rsidRPr="00000000" w14:paraId="00000045">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Universiti</w:t>
            </w:r>
          </w:p>
        </w:tc>
        <w:tc>
          <w:tcPr>
            <w:tcBorders>
              <w:top w:color="000000" w:space="0" w:sz="4" w:val="single"/>
            </w:tcBorders>
          </w:tcPr>
          <w:p w:rsidR="00000000" w:rsidDel="00000000" w:rsidP="00000000" w:rsidRDefault="00000000" w:rsidRPr="00000000" w14:paraId="00000046">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tcBorders>
              <w:top w:color="000000" w:space="0" w:sz="4" w:val="single"/>
            </w:tcBorders>
          </w:tcPr>
          <w:p w:rsidR="00000000" w:rsidDel="00000000" w:rsidP="00000000" w:rsidRDefault="00000000" w:rsidRPr="00000000" w14:paraId="00000047">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Ada</w:t>
            </w:r>
          </w:p>
        </w:tc>
      </w:tr>
      <w:tr>
        <w:trPr>
          <w:cantSplit w:val="0"/>
          <w:tblHeader w:val="0"/>
        </w:trPr>
        <w:tc>
          <w:tcPr/>
          <w:p w:rsidR="00000000" w:rsidDel="00000000" w:rsidP="00000000" w:rsidRDefault="00000000" w:rsidRPr="00000000" w14:paraId="00000048">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04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Pensyarah Kanan </w:t>
            </w:r>
          </w:p>
          <w:p w:rsidR="00000000" w:rsidDel="00000000" w:rsidP="00000000" w:rsidRDefault="00000000" w:rsidRPr="00000000" w14:paraId="0000004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(Prof. Madya, PhD)</w:t>
            </w:r>
          </w:p>
        </w:tc>
        <w:tc>
          <w:tcPr/>
          <w:p w:rsidR="00000000" w:rsidDel="00000000" w:rsidP="00000000" w:rsidRDefault="00000000" w:rsidRPr="00000000" w14:paraId="0000004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Kaunseling Kerjaya</w:t>
            </w:r>
          </w:p>
        </w:tc>
        <w:tc>
          <w:tcPr/>
          <w:p w:rsidR="00000000" w:rsidDel="00000000" w:rsidP="00000000" w:rsidRDefault="00000000" w:rsidRPr="00000000" w14:paraId="0000004C">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Universiti</w:t>
            </w:r>
          </w:p>
        </w:tc>
        <w:tc>
          <w:tcPr/>
          <w:p w:rsidR="00000000" w:rsidDel="00000000" w:rsidP="00000000" w:rsidRDefault="00000000" w:rsidRPr="00000000" w14:paraId="0000004D">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21</w:t>
            </w:r>
          </w:p>
        </w:tc>
        <w:tc>
          <w:tcPr/>
          <w:p w:rsidR="00000000" w:rsidDel="00000000" w:rsidP="00000000" w:rsidRDefault="00000000" w:rsidRPr="00000000" w14:paraId="0000004E">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Ada</w:t>
            </w:r>
          </w:p>
        </w:tc>
      </w:tr>
      <w:tr>
        <w:trPr>
          <w:cantSplit w:val="0"/>
          <w:tblHeader w:val="0"/>
        </w:trPr>
        <w:tc>
          <w:tcPr/>
          <w:p w:rsidR="00000000" w:rsidDel="00000000" w:rsidP="00000000" w:rsidRDefault="00000000" w:rsidRPr="00000000" w14:paraId="0000004F">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p w:rsidR="00000000" w:rsidDel="00000000" w:rsidP="00000000" w:rsidRDefault="00000000" w:rsidRPr="00000000" w14:paraId="0000005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Pensyarah Kanan </w:t>
            </w:r>
          </w:p>
          <w:p w:rsidR="00000000" w:rsidDel="00000000" w:rsidP="00000000" w:rsidRDefault="00000000" w:rsidRPr="00000000" w14:paraId="0000005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(Prof. Madya, PhD)</w:t>
            </w:r>
          </w:p>
        </w:tc>
        <w:tc>
          <w:tcPr/>
          <w:p w:rsidR="00000000" w:rsidDel="00000000" w:rsidP="00000000" w:rsidRDefault="00000000" w:rsidRPr="00000000" w14:paraId="0000005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Kaunseling Keluarga</w:t>
            </w:r>
          </w:p>
        </w:tc>
        <w:tc>
          <w:tcPr/>
          <w:p w:rsidR="00000000" w:rsidDel="00000000" w:rsidP="00000000" w:rsidRDefault="00000000" w:rsidRPr="00000000" w14:paraId="00000053">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Universiti</w:t>
            </w:r>
          </w:p>
        </w:tc>
        <w:tc>
          <w:tcPr/>
          <w:p w:rsidR="00000000" w:rsidDel="00000000" w:rsidP="00000000" w:rsidRDefault="00000000" w:rsidRPr="00000000" w14:paraId="00000054">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23</w:t>
            </w:r>
          </w:p>
        </w:tc>
        <w:tc>
          <w:tcPr/>
          <w:p w:rsidR="00000000" w:rsidDel="00000000" w:rsidP="00000000" w:rsidRDefault="00000000" w:rsidRPr="00000000" w14:paraId="00000055">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Ada</w:t>
            </w:r>
          </w:p>
        </w:tc>
      </w:tr>
      <w:tr>
        <w:trPr>
          <w:cantSplit w:val="0"/>
          <w:trHeight w:val="60" w:hRule="atLeast"/>
          <w:tblHeader w:val="0"/>
        </w:trPr>
        <w:tc>
          <w:tcPr/>
          <w:p w:rsidR="00000000" w:rsidDel="00000000" w:rsidP="00000000" w:rsidRDefault="00000000" w:rsidRPr="00000000" w14:paraId="00000056">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p w:rsidR="00000000" w:rsidDel="00000000" w:rsidP="00000000" w:rsidRDefault="00000000" w:rsidRPr="00000000" w14:paraId="0000005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Pensyarah Kanan</w:t>
            </w:r>
          </w:p>
          <w:p w:rsidR="00000000" w:rsidDel="00000000" w:rsidP="00000000" w:rsidRDefault="00000000" w:rsidRPr="00000000" w14:paraId="0000005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(PhD)</w:t>
            </w:r>
          </w:p>
        </w:tc>
        <w:tc>
          <w:tcPr/>
          <w:p w:rsidR="00000000" w:rsidDel="00000000" w:rsidP="00000000" w:rsidRDefault="00000000" w:rsidRPr="00000000" w14:paraId="0000005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Kaunseling Organisasi</w:t>
            </w:r>
          </w:p>
        </w:tc>
        <w:tc>
          <w:tcPr/>
          <w:p w:rsidR="00000000" w:rsidDel="00000000" w:rsidP="00000000" w:rsidRDefault="00000000" w:rsidRPr="00000000" w14:paraId="0000005A">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Universiti</w:t>
            </w:r>
          </w:p>
        </w:tc>
        <w:tc>
          <w:tcPr/>
          <w:p w:rsidR="00000000" w:rsidDel="00000000" w:rsidP="00000000" w:rsidRDefault="00000000" w:rsidRPr="00000000" w14:paraId="0000005B">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17 </w:t>
            </w:r>
          </w:p>
        </w:tc>
        <w:tc>
          <w:tcPr/>
          <w:p w:rsidR="00000000" w:rsidDel="00000000" w:rsidP="00000000" w:rsidRDefault="00000000" w:rsidRPr="00000000" w14:paraId="0000005C">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Ada</w:t>
            </w:r>
          </w:p>
        </w:tc>
      </w:tr>
      <w:tr>
        <w:trPr>
          <w:cantSplit w:val="0"/>
          <w:tblHeader w:val="0"/>
        </w:trPr>
        <w:tc>
          <w:tcPr/>
          <w:p w:rsidR="00000000" w:rsidDel="00000000" w:rsidP="00000000" w:rsidRDefault="00000000" w:rsidRPr="00000000" w14:paraId="0000005D">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p w:rsidR="00000000" w:rsidDel="00000000" w:rsidP="00000000" w:rsidRDefault="00000000" w:rsidRPr="00000000" w14:paraId="0000005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Pensyarah Kanan</w:t>
            </w:r>
          </w:p>
          <w:p w:rsidR="00000000" w:rsidDel="00000000" w:rsidP="00000000" w:rsidRDefault="00000000" w:rsidRPr="00000000" w14:paraId="0000005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(PhD)</w:t>
            </w:r>
          </w:p>
        </w:tc>
        <w:tc>
          <w:tcPr/>
          <w:p w:rsidR="00000000" w:rsidDel="00000000" w:rsidP="00000000" w:rsidRDefault="00000000" w:rsidRPr="00000000" w14:paraId="0000006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Kaunseling Kesihatan Mental</w:t>
            </w:r>
          </w:p>
        </w:tc>
        <w:tc>
          <w:tcPr/>
          <w:p w:rsidR="00000000" w:rsidDel="00000000" w:rsidP="00000000" w:rsidRDefault="00000000" w:rsidRPr="00000000" w14:paraId="00000061">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Universiti</w:t>
            </w:r>
          </w:p>
          <w:p w:rsidR="00000000" w:rsidDel="00000000" w:rsidP="00000000" w:rsidRDefault="00000000" w:rsidRPr="00000000" w14:paraId="00000062">
            <w:pPr>
              <w:spacing w:line="276" w:lineRule="auto"/>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63">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17</w:t>
            </w:r>
          </w:p>
        </w:tc>
        <w:tc>
          <w:tcPr/>
          <w:p w:rsidR="00000000" w:rsidDel="00000000" w:rsidP="00000000" w:rsidRDefault="00000000" w:rsidRPr="00000000" w14:paraId="00000064">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Ada</w:t>
            </w:r>
          </w:p>
        </w:tc>
      </w:tr>
      <w:tr>
        <w:trPr>
          <w:cantSplit w:val="0"/>
          <w:tblHeader w:val="0"/>
        </w:trPr>
        <w:tc>
          <w:tcPr/>
          <w:p w:rsidR="00000000" w:rsidDel="00000000" w:rsidP="00000000" w:rsidRDefault="00000000" w:rsidRPr="00000000" w14:paraId="00000065">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p w:rsidR="00000000" w:rsidDel="00000000" w:rsidP="00000000" w:rsidRDefault="00000000" w:rsidRPr="00000000" w14:paraId="0000006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Pensyarah Kanan</w:t>
            </w:r>
          </w:p>
          <w:p w:rsidR="00000000" w:rsidDel="00000000" w:rsidP="00000000" w:rsidRDefault="00000000" w:rsidRPr="00000000" w14:paraId="0000006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(PhD)</w:t>
            </w:r>
          </w:p>
        </w:tc>
        <w:tc>
          <w:tcPr/>
          <w:p w:rsidR="00000000" w:rsidDel="00000000" w:rsidP="00000000" w:rsidRDefault="00000000" w:rsidRPr="00000000" w14:paraId="0000006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Kaunseling Organisasi</w:t>
            </w:r>
          </w:p>
        </w:tc>
        <w:tc>
          <w:tcPr/>
          <w:p w:rsidR="00000000" w:rsidDel="00000000" w:rsidP="00000000" w:rsidRDefault="00000000" w:rsidRPr="00000000" w14:paraId="00000069">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Universiti</w:t>
            </w:r>
          </w:p>
          <w:p w:rsidR="00000000" w:rsidDel="00000000" w:rsidP="00000000" w:rsidRDefault="00000000" w:rsidRPr="00000000" w14:paraId="0000006A">
            <w:pPr>
              <w:spacing w:line="276" w:lineRule="auto"/>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6B">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15 </w:t>
            </w:r>
          </w:p>
        </w:tc>
        <w:tc>
          <w:tcPr/>
          <w:p w:rsidR="00000000" w:rsidDel="00000000" w:rsidP="00000000" w:rsidRDefault="00000000" w:rsidRPr="00000000" w14:paraId="0000006C">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Ada</w:t>
            </w:r>
          </w:p>
        </w:tc>
      </w:tr>
      <w:tr>
        <w:trPr>
          <w:cantSplit w:val="0"/>
          <w:tblHeader w:val="0"/>
        </w:trPr>
        <w:tc>
          <w:tcPr/>
          <w:p w:rsidR="00000000" w:rsidDel="00000000" w:rsidP="00000000" w:rsidRDefault="00000000" w:rsidRPr="00000000" w14:paraId="0000006D">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p w:rsidR="00000000" w:rsidDel="00000000" w:rsidP="00000000" w:rsidRDefault="00000000" w:rsidRPr="00000000" w14:paraId="0000006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Pensyarah Kanan</w:t>
            </w:r>
          </w:p>
          <w:p w:rsidR="00000000" w:rsidDel="00000000" w:rsidP="00000000" w:rsidRDefault="00000000" w:rsidRPr="00000000" w14:paraId="0000006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(PhD)</w:t>
            </w:r>
          </w:p>
        </w:tc>
        <w:tc>
          <w:tcPr/>
          <w:p w:rsidR="00000000" w:rsidDel="00000000" w:rsidP="00000000" w:rsidRDefault="00000000" w:rsidRPr="00000000" w14:paraId="0000007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Psikologi Pendidikan</w:t>
            </w:r>
          </w:p>
        </w:tc>
        <w:tc>
          <w:tcPr/>
          <w:p w:rsidR="00000000" w:rsidDel="00000000" w:rsidP="00000000" w:rsidRDefault="00000000" w:rsidRPr="00000000" w14:paraId="00000071">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Universiti</w:t>
            </w:r>
          </w:p>
          <w:p w:rsidR="00000000" w:rsidDel="00000000" w:rsidP="00000000" w:rsidRDefault="00000000" w:rsidRPr="00000000" w14:paraId="00000072">
            <w:pPr>
              <w:spacing w:line="276" w:lineRule="auto"/>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73">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18 </w:t>
            </w:r>
          </w:p>
        </w:tc>
        <w:tc>
          <w:tcPr/>
          <w:p w:rsidR="00000000" w:rsidDel="00000000" w:rsidP="00000000" w:rsidRDefault="00000000" w:rsidRPr="00000000" w14:paraId="00000074">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Ada</w:t>
            </w:r>
          </w:p>
        </w:tc>
      </w:tr>
      <w:tr>
        <w:trPr>
          <w:cantSplit w:val="0"/>
          <w:tblHeader w:val="0"/>
        </w:trPr>
        <w:tc>
          <w:tcPr>
            <w:tcBorders>
              <w:bottom w:color="000000" w:space="0" w:sz="4" w:val="single"/>
            </w:tcBorders>
          </w:tcPr>
          <w:p w:rsidR="00000000" w:rsidDel="00000000" w:rsidP="00000000" w:rsidRDefault="00000000" w:rsidRPr="00000000" w14:paraId="00000075">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tcBorders>
              <w:bottom w:color="000000" w:space="0" w:sz="4" w:val="single"/>
            </w:tcBorders>
          </w:tcPr>
          <w:p w:rsidR="00000000" w:rsidDel="00000000" w:rsidP="00000000" w:rsidRDefault="00000000" w:rsidRPr="00000000" w14:paraId="0000007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Kaunselor</w:t>
            </w:r>
          </w:p>
          <w:p w:rsidR="00000000" w:rsidDel="00000000" w:rsidP="00000000" w:rsidRDefault="00000000" w:rsidRPr="00000000" w14:paraId="0000007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(PhD)</w:t>
            </w:r>
          </w:p>
        </w:tc>
        <w:tc>
          <w:tcPr>
            <w:tcBorders>
              <w:bottom w:color="000000" w:space="0" w:sz="4" w:val="single"/>
            </w:tcBorders>
          </w:tcPr>
          <w:p w:rsidR="00000000" w:rsidDel="00000000" w:rsidP="00000000" w:rsidRDefault="00000000" w:rsidRPr="00000000" w14:paraId="0000007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Psikologi</w:t>
            </w:r>
          </w:p>
        </w:tc>
        <w:tc>
          <w:tcPr>
            <w:tcBorders>
              <w:bottom w:color="000000" w:space="0" w:sz="4" w:val="single"/>
            </w:tcBorders>
          </w:tcPr>
          <w:p w:rsidR="00000000" w:rsidDel="00000000" w:rsidP="00000000" w:rsidRDefault="00000000" w:rsidRPr="00000000" w14:paraId="00000079">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Organisasi</w:t>
            </w:r>
          </w:p>
          <w:p w:rsidR="00000000" w:rsidDel="00000000" w:rsidP="00000000" w:rsidRDefault="00000000" w:rsidRPr="00000000" w14:paraId="0000007A">
            <w:pPr>
              <w:spacing w:line="276" w:lineRule="auto"/>
              <w:jc w:val="both"/>
              <w:rPr>
                <w:rFonts w:ascii="Arial" w:cs="Arial" w:eastAsia="Arial" w:hAnsi="Arial"/>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7B">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23 </w:t>
            </w:r>
          </w:p>
        </w:tc>
        <w:tc>
          <w:tcPr>
            <w:tcBorders>
              <w:bottom w:color="000000" w:space="0" w:sz="4" w:val="single"/>
            </w:tcBorders>
          </w:tcPr>
          <w:p w:rsidR="00000000" w:rsidDel="00000000" w:rsidP="00000000" w:rsidRDefault="00000000" w:rsidRPr="00000000" w14:paraId="0000007C">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Ada</w:t>
            </w:r>
          </w:p>
        </w:tc>
      </w:tr>
    </w:tbl>
    <w:p w:rsidR="00000000" w:rsidDel="00000000" w:rsidP="00000000" w:rsidRDefault="00000000" w:rsidRPr="00000000" w14:paraId="0000007D">
      <w:pPr>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Nota </w:t>
      </w:r>
      <w:r w:rsidDel="00000000" w:rsidR="00000000" w:rsidRPr="00000000">
        <w:rPr>
          <w:rFonts w:ascii="Arial" w:cs="Arial" w:eastAsia="Arial" w:hAnsi="Arial"/>
          <w:sz w:val="24"/>
          <w:szCs w:val="24"/>
          <w:rtl w:val="0"/>
        </w:rPr>
        <w:t xml:space="preserve">: Maklumat penilaian pakar instrument kajian</w:t>
      </w:r>
    </w:p>
    <w:p w:rsidR="00000000" w:rsidDel="00000000" w:rsidP="00000000" w:rsidRDefault="00000000" w:rsidRPr="00000000" w14:paraId="0000007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Kesimpulannya, penilaian oleh 8 pakar menunjukkan penerimaan sebulat suara terhadap alat pengukur yang dikaji, tanpa sebarang pembuangan item. Ini membuktikan kesesuaian kandungan dan kebolehpercayaan yang tinggi dalam mengukur keperluan perkhidmatan kaunseling, konflik kerja-keluarga, dan kesihatan mental, menjadikannya alat yang berkesan dan boleh dipercayai untuk kajian lanjutan.</w:t>
      </w:r>
    </w:p>
    <w:p w:rsidR="00000000" w:rsidDel="00000000" w:rsidP="00000000" w:rsidRDefault="00000000" w:rsidRPr="00000000" w14:paraId="0000007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0">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Jadual 2</w:t>
      </w:r>
    </w:p>
    <w:p w:rsidR="00000000" w:rsidDel="00000000" w:rsidP="00000000" w:rsidRDefault="00000000" w:rsidRPr="00000000" w14:paraId="00000081">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Kesahan Kandungan dan Kebolehpercayaan Alat Ukur Kajian</w:t>
      </w:r>
    </w:p>
    <w:tbl>
      <w:tblPr>
        <w:tblStyle w:val="Table2"/>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35"/>
        <w:gridCol w:w="999"/>
        <w:gridCol w:w="1098"/>
        <w:gridCol w:w="1575"/>
        <w:gridCol w:w="1559"/>
        <w:gridCol w:w="1559"/>
        <w:tblGridChange w:id="0">
          <w:tblGrid>
            <w:gridCol w:w="2135"/>
            <w:gridCol w:w="999"/>
            <w:gridCol w:w="1098"/>
            <w:gridCol w:w="1575"/>
            <w:gridCol w:w="1559"/>
            <w:gridCol w:w="1559"/>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8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Alat Ukur</w:t>
            </w:r>
          </w:p>
        </w:tc>
        <w:tc>
          <w:tcPr>
            <w:tcBorders>
              <w:top w:color="000000" w:space="0" w:sz="4" w:val="single"/>
              <w:bottom w:color="000000" w:space="0" w:sz="4" w:val="single"/>
            </w:tcBorders>
          </w:tcPr>
          <w:p w:rsidR="00000000" w:rsidDel="00000000" w:rsidP="00000000" w:rsidRDefault="00000000" w:rsidRPr="00000000" w14:paraId="0000008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Bil. Item</w:t>
            </w:r>
          </w:p>
        </w:tc>
        <w:tc>
          <w:tcPr>
            <w:tcBorders>
              <w:top w:color="000000" w:space="0" w:sz="4" w:val="single"/>
              <w:bottom w:color="000000" w:space="0" w:sz="4" w:val="single"/>
            </w:tcBorders>
          </w:tcPr>
          <w:p w:rsidR="00000000" w:rsidDel="00000000" w:rsidP="00000000" w:rsidRDefault="00000000" w:rsidRPr="00000000" w14:paraId="00000084">
            <w:pPr>
              <w:jc w:val="both"/>
              <w:rPr>
                <w:rFonts w:ascii="Arial" w:cs="Arial" w:eastAsia="Arial" w:hAnsi="Arial"/>
                <w:sz w:val="24"/>
                <w:szCs w:val="24"/>
              </w:rPr>
            </w:pPr>
            <w:r w:rsidDel="00000000" w:rsidR="00000000" w:rsidRPr="00000000">
              <w:rPr>
                <w:rFonts w:ascii="Arial" w:cs="Arial" w:eastAsia="Arial" w:hAnsi="Arial"/>
                <w:i w:val="1"/>
                <w:sz w:val="24"/>
                <w:szCs w:val="24"/>
                <w:vertAlign w:val="baseline"/>
                <w:rtl w:val="0"/>
              </w:rPr>
              <w:t xml:space="preserve">Content Validity Index</w:t>
            </w:r>
            <w:r w:rsidDel="00000000" w:rsidR="00000000" w:rsidRPr="00000000">
              <w:rPr>
                <w:rFonts w:ascii="Arial" w:cs="Arial" w:eastAsia="Arial" w:hAnsi="Arial"/>
                <w:b w:val="1"/>
                <w:i w:val="1"/>
                <w:sz w:val="24"/>
                <w:szCs w:val="24"/>
                <w:vertAlign w:val="baseline"/>
                <w:rtl w:val="0"/>
              </w:rPr>
              <w:t xml:space="preserve"> </w:t>
            </w:r>
            <w:r w:rsidDel="00000000" w:rsidR="00000000" w:rsidRPr="00000000">
              <w:rPr>
                <w:rFonts w:ascii="Arial" w:cs="Arial" w:eastAsia="Arial" w:hAnsi="Arial"/>
                <w:i w:val="1"/>
                <w:sz w:val="24"/>
                <w:szCs w:val="24"/>
                <w:vertAlign w:val="baseline"/>
                <w:rtl w:val="0"/>
              </w:rPr>
              <w:t xml:space="preserve">(Mean CVR</w:t>
            </w:r>
            <w:r w:rsidDel="00000000" w:rsidR="00000000" w:rsidRPr="00000000">
              <w:rPr>
                <w:rFonts w:ascii="Arial" w:cs="Arial" w:eastAsia="Arial" w:hAnsi="Arial"/>
                <w:i w:val="1"/>
                <w:sz w:val="24"/>
                <w:szCs w:val="24"/>
                <w:rtl w:val="0"/>
              </w:rPr>
              <w:t xml:space="preserve">t</w:t>
            </w:r>
            <w:r w:rsidDel="00000000" w:rsidR="00000000" w:rsidRPr="00000000">
              <w:rPr>
                <w:rFonts w:ascii="Arial" w:cs="Arial" w:eastAsia="Arial" w:hAnsi="Arial"/>
                <w:b w:val="1"/>
                <w:i w:val="1"/>
                <w:sz w:val="24"/>
                <w:szCs w:val="24"/>
                <w:vertAlign w:val="baseline"/>
                <w:rtl w:val="0"/>
              </w:rPr>
              <w:t xml:space="preserve">)</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8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Interpretasi</w:t>
            </w:r>
          </w:p>
        </w:tc>
        <w:tc>
          <w:tcPr>
            <w:tcBorders>
              <w:top w:color="000000" w:space="0" w:sz="4" w:val="single"/>
              <w:bottom w:color="000000" w:space="0" w:sz="4" w:val="single"/>
            </w:tcBorders>
          </w:tcPr>
          <w:p w:rsidR="00000000" w:rsidDel="00000000" w:rsidP="00000000" w:rsidRDefault="00000000" w:rsidRPr="00000000" w14:paraId="00000086">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Alpa Cronbach</w:t>
            </w:r>
          </w:p>
        </w:tc>
        <w:tc>
          <w:tcPr>
            <w:tcBorders>
              <w:top w:color="000000" w:space="0" w:sz="4" w:val="single"/>
              <w:bottom w:color="000000" w:space="0" w:sz="4" w:val="single"/>
            </w:tcBorders>
          </w:tcPr>
          <w:p w:rsidR="00000000" w:rsidDel="00000000" w:rsidP="00000000" w:rsidRDefault="00000000" w:rsidRPr="00000000" w14:paraId="0000008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Interpretasi</w:t>
            </w:r>
          </w:p>
        </w:tc>
      </w:tr>
      <w:tr>
        <w:trPr>
          <w:cantSplit w:val="0"/>
          <w:tblHeader w:val="0"/>
        </w:trPr>
        <w:tc>
          <w:tcPr>
            <w:tcBorders>
              <w:top w:color="000000" w:space="0" w:sz="4" w:val="single"/>
            </w:tcBorders>
          </w:tcPr>
          <w:p w:rsidR="00000000" w:rsidDel="00000000" w:rsidP="00000000" w:rsidRDefault="00000000" w:rsidRPr="00000000" w14:paraId="0000008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Keperluan Perkhidmatan Kaunseling</w:t>
            </w:r>
          </w:p>
        </w:tc>
        <w:tc>
          <w:tcPr>
            <w:tcBorders>
              <w:top w:color="000000" w:space="0" w:sz="4" w:val="single"/>
            </w:tcBorders>
          </w:tcPr>
          <w:p w:rsidR="00000000" w:rsidDel="00000000" w:rsidP="00000000" w:rsidRDefault="00000000" w:rsidRPr="00000000" w14:paraId="0000008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tcBorders>
              <w:top w:color="000000" w:space="0" w:sz="4" w:val="single"/>
            </w:tcBorders>
          </w:tcPr>
          <w:p w:rsidR="00000000" w:rsidDel="00000000" w:rsidP="00000000" w:rsidRDefault="00000000" w:rsidRPr="00000000" w14:paraId="0000008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0.937</w:t>
            </w:r>
          </w:p>
        </w:tc>
        <w:tc>
          <w:tcPr>
            <w:tcBorders>
              <w:top w:color="000000" w:space="0" w:sz="4" w:val="single"/>
            </w:tcBorders>
          </w:tcPr>
          <w:p w:rsidR="00000000" w:rsidDel="00000000" w:rsidP="00000000" w:rsidRDefault="00000000" w:rsidRPr="00000000" w14:paraId="0000008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Semua item dikekalkan</w:t>
            </w:r>
          </w:p>
        </w:tc>
        <w:tc>
          <w:tcPr>
            <w:tcBorders>
              <w:top w:color="000000" w:space="0" w:sz="4" w:val="single"/>
            </w:tcBorders>
          </w:tcPr>
          <w:p w:rsidR="00000000" w:rsidDel="00000000" w:rsidP="00000000" w:rsidRDefault="00000000" w:rsidRPr="00000000" w14:paraId="0000008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0.916</w:t>
            </w:r>
          </w:p>
        </w:tc>
        <w:tc>
          <w:tcPr>
            <w:tcBorders>
              <w:top w:color="000000" w:space="0" w:sz="4" w:val="single"/>
            </w:tcBorders>
          </w:tcPr>
          <w:p w:rsidR="00000000" w:rsidDel="00000000" w:rsidP="00000000" w:rsidRDefault="00000000" w:rsidRPr="00000000" w14:paraId="0000008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Sangat Tinggi</w:t>
            </w:r>
          </w:p>
        </w:tc>
      </w:tr>
      <w:tr>
        <w:trPr>
          <w:cantSplit w:val="0"/>
          <w:tblHeader w:val="0"/>
        </w:trPr>
        <w:tc>
          <w:tcPr/>
          <w:p w:rsidR="00000000" w:rsidDel="00000000" w:rsidP="00000000" w:rsidRDefault="00000000" w:rsidRPr="00000000" w14:paraId="0000008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Konflik Kerja Keluarga</w:t>
            </w:r>
          </w:p>
        </w:tc>
        <w:tc>
          <w:tcPr/>
          <w:p w:rsidR="00000000" w:rsidDel="00000000" w:rsidP="00000000" w:rsidRDefault="00000000" w:rsidRPr="00000000" w14:paraId="0000008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p w:rsidR="00000000" w:rsidDel="00000000" w:rsidP="00000000" w:rsidRDefault="00000000" w:rsidRPr="00000000" w14:paraId="0000009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0.890</w:t>
            </w:r>
          </w:p>
        </w:tc>
        <w:tc>
          <w:tcPr/>
          <w:p w:rsidR="00000000" w:rsidDel="00000000" w:rsidP="00000000" w:rsidRDefault="00000000" w:rsidRPr="00000000" w14:paraId="0000009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Semua item dikekalkan</w:t>
            </w:r>
          </w:p>
        </w:tc>
        <w:tc>
          <w:tcPr/>
          <w:p w:rsidR="00000000" w:rsidDel="00000000" w:rsidP="00000000" w:rsidRDefault="00000000" w:rsidRPr="00000000" w14:paraId="0000009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0.907</w:t>
            </w:r>
          </w:p>
        </w:tc>
        <w:tc>
          <w:tcPr/>
          <w:p w:rsidR="00000000" w:rsidDel="00000000" w:rsidP="00000000" w:rsidRDefault="00000000" w:rsidRPr="00000000" w14:paraId="0000009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Sangat Tinggi</w:t>
            </w:r>
          </w:p>
          <w:p w:rsidR="00000000" w:rsidDel="00000000" w:rsidP="00000000" w:rsidRDefault="00000000" w:rsidRPr="00000000" w14:paraId="00000094">
            <w:pPr>
              <w:jc w:val="both"/>
              <w:rPr>
                <w:rFonts w:ascii="Arial" w:cs="Arial" w:eastAsia="Arial" w:hAnsi="Arial"/>
                <w:sz w:val="24"/>
                <w:szCs w:val="24"/>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9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Kesihatan Mental</w:t>
            </w:r>
          </w:p>
        </w:tc>
        <w:tc>
          <w:tcPr>
            <w:tcBorders>
              <w:bottom w:color="000000" w:space="0" w:sz="4" w:val="single"/>
            </w:tcBorders>
          </w:tcPr>
          <w:p w:rsidR="00000000" w:rsidDel="00000000" w:rsidP="00000000" w:rsidRDefault="00000000" w:rsidRPr="00000000" w14:paraId="0000009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tcBorders>
              <w:bottom w:color="000000" w:space="0" w:sz="4" w:val="single"/>
            </w:tcBorders>
          </w:tcPr>
          <w:p w:rsidR="00000000" w:rsidDel="00000000" w:rsidP="00000000" w:rsidRDefault="00000000" w:rsidRPr="00000000" w14:paraId="0000009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0.875</w:t>
            </w:r>
          </w:p>
        </w:tc>
        <w:tc>
          <w:tcPr>
            <w:tcBorders>
              <w:bottom w:color="000000" w:space="0" w:sz="4" w:val="single"/>
            </w:tcBorders>
          </w:tcPr>
          <w:p w:rsidR="00000000" w:rsidDel="00000000" w:rsidP="00000000" w:rsidRDefault="00000000" w:rsidRPr="00000000" w14:paraId="0000009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Semua item dikekalkan</w:t>
            </w:r>
          </w:p>
        </w:tc>
        <w:tc>
          <w:tcPr>
            <w:tcBorders>
              <w:bottom w:color="000000" w:space="0" w:sz="4" w:val="single"/>
            </w:tcBorders>
          </w:tcPr>
          <w:p w:rsidR="00000000" w:rsidDel="00000000" w:rsidP="00000000" w:rsidRDefault="00000000" w:rsidRPr="00000000" w14:paraId="0000009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0.891</w:t>
            </w:r>
          </w:p>
        </w:tc>
        <w:tc>
          <w:tcPr>
            <w:tcBorders>
              <w:bottom w:color="000000" w:space="0" w:sz="4" w:val="single"/>
            </w:tcBorders>
          </w:tcPr>
          <w:p w:rsidR="00000000" w:rsidDel="00000000" w:rsidP="00000000" w:rsidRDefault="00000000" w:rsidRPr="00000000" w14:paraId="0000009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Tinggi</w:t>
            </w:r>
          </w:p>
        </w:tc>
      </w:tr>
    </w:tbl>
    <w:p w:rsidR="00000000" w:rsidDel="00000000" w:rsidP="00000000" w:rsidRDefault="00000000" w:rsidRPr="00000000" w14:paraId="0000009B">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Nota : </w:t>
      </w:r>
      <w:r w:rsidDel="00000000" w:rsidR="00000000" w:rsidRPr="00000000">
        <w:rPr>
          <w:rFonts w:ascii="Arial" w:cs="Arial" w:eastAsia="Arial" w:hAnsi="Arial"/>
          <w:sz w:val="24"/>
          <w:szCs w:val="24"/>
          <w:rtl w:val="0"/>
        </w:rPr>
        <w:t xml:space="preserve">Kesahan dan kebolehpercayaan instrument kajian</w:t>
      </w:r>
      <w:r w:rsidDel="00000000" w:rsidR="00000000" w:rsidRPr="00000000">
        <w:rPr>
          <w:rtl w:val="0"/>
        </w:rPr>
      </w:r>
    </w:p>
    <w:p w:rsidR="00000000" w:rsidDel="00000000" w:rsidP="00000000" w:rsidRDefault="00000000" w:rsidRPr="00000000" w14:paraId="0000009C">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Kajian Rintis</w:t>
      </w:r>
    </w:p>
    <w:p w:rsidR="00000000" w:rsidDel="00000000" w:rsidP="00000000" w:rsidRDefault="00000000" w:rsidRPr="00000000" w14:paraId="0000009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Kajian rintis ini bertujuan menilai data daripada responden serupa dengan sasaran kajian utama, membantu mengurangkan kekeliruan soal selidik dan memastikan prosedur kajian berjalan lancar. Ia dijalankan ke atas wanita profesional di Kuching menggunakan soal selidik yang dianalisis dengan SPSS versi 21.0 untuk menguji kebolehpercayaan instrumen dan kesahan konstruk. Hasil analisis menunjukkan nilai </w:t>
      </w:r>
      <w:r w:rsidDel="00000000" w:rsidR="00000000" w:rsidRPr="00000000">
        <w:rPr>
          <w:rFonts w:ascii="Arial" w:cs="Arial" w:eastAsia="Arial" w:hAnsi="Arial"/>
          <w:i w:val="1"/>
          <w:sz w:val="24"/>
          <w:szCs w:val="24"/>
          <w:rtl w:val="0"/>
        </w:rPr>
        <w:t xml:space="preserve">Cronbach alpha</w:t>
      </w:r>
      <w:r w:rsidDel="00000000" w:rsidR="00000000" w:rsidRPr="00000000">
        <w:rPr>
          <w:rFonts w:ascii="Arial" w:cs="Arial" w:eastAsia="Arial" w:hAnsi="Arial"/>
          <w:sz w:val="24"/>
          <w:szCs w:val="24"/>
          <w:rtl w:val="0"/>
        </w:rPr>
        <w:t xml:space="preserve"> antara 0.89 hingga 0.93, menandakan kebolehpercayaan tinggi, dengan konstruk Keperluan Perkhidmatan Kaunseling dan kesihatan mental mencatatkan nilai tertinggi (0.93) dan Menurut Hair et al. (1998), nilai melebihi 0.7 menunjukkan kebolehpercayaan baik, menjadikan instrumen sesuai untuk kajian lanjut.</w:t>
      </w:r>
    </w:p>
    <w:p w:rsidR="00000000" w:rsidDel="00000000" w:rsidP="00000000" w:rsidRDefault="00000000" w:rsidRPr="00000000" w14:paraId="0000009E">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Jadual 3</w:t>
      </w:r>
    </w:p>
    <w:p w:rsidR="00000000" w:rsidDel="00000000" w:rsidP="00000000" w:rsidRDefault="00000000" w:rsidRPr="00000000" w14:paraId="0000009F">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Kebolehpercayaan Instrument Kajian</w:t>
      </w:r>
    </w:p>
    <w:tbl>
      <w:tblPr>
        <w:tblStyle w:val="Table3"/>
        <w:tblW w:w="8682.0" w:type="dxa"/>
        <w:jc w:val="lef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3595"/>
        <w:gridCol w:w="1217"/>
        <w:gridCol w:w="1170"/>
        <w:gridCol w:w="1530"/>
        <w:gridCol w:w="1170"/>
        <w:tblGridChange w:id="0">
          <w:tblGrid>
            <w:gridCol w:w="3595"/>
            <w:gridCol w:w="1217"/>
            <w:gridCol w:w="1170"/>
            <w:gridCol w:w="1530"/>
            <w:gridCol w:w="1170"/>
          </w:tblGrid>
        </w:tblGridChange>
      </w:tblGrid>
      <w:tr>
        <w:trPr>
          <w:cantSplit w:val="0"/>
          <w:tblHeader w:val="0"/>
        </w:trPr>
        <w:tc>
          <w:tcPr>
            <w:tcBorders>
              <w:top w:color="000000" w:space="0" w:sz="4" w:val="single"/>
              <w:bottom w:color="000000" w:space="0" w:sz="0" w:val="nil"/>
            </w:tcBorders>
          </w:tcPr>
          <w:p w:rsidR="00000000" w:rsidDel="00000000" w:rsidP="00000000" w:rsidRDefault="00000000" w:rsidRPr="00000000" w14:paraId="000000A0">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Pembolehubah</w:t>
            </w:r>
          </w:p>
        </w:tc>
        <w:tc>
          <w:tcPr>
            <w:gridSpan w:val="2"/>
            <w:tcBorders>
              <w:top w:color="000000" w:space="0" w:sz="4" w:val="single"/>
              <w:bottom w:color="000000" w:space="0" w:sz="0" w:val="nil"/>
            </w:tcBorders>
          </w:tcPr>
          <w:p w:rsidR="00000000" w:rsidDel="00000000" w:rsidP="00000000" w:rsidRDefault="00000000" w:rsidRPr="00000000" w14:paraId="000000A1">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Bilangan item</w:t>
            </w:r>
          </w:p>
        </w:tc>
        <w:tc>
          <w:tcPr>
            <w:gridSpan w:val="2"/>
            <w:tcBorders>
              <w:top w:color="000000" w:space="0" w:sz="4" w:val="single"/>
              <w:bottom w:color="000000" w:space="0" w:sz="0" w:val="nil"/>
            </w:tcBorders>
          </w:tcPr>
          <w:p w:rsidR="00000000" w:rsidDel="00000000" w:rsidP="00000000" w:rsidRDefault="00000000" w:rsidRPr="00000000" w14:paraId="000000A3">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Nilai Kebolehpercayaan</w:t>
            </w:r>
          </w:p>
        </w:tc>
      </w:tr>
      <w:tr>
        <w:trPr>
          <w:cantSplit w:val="0"/>
          <w:tblHeader w:val="0"/>
        </w:trPr>
        <w:tc>
          <w:tcPr>
            <w:tcBorders>
              <w:top w:color="000000" w:space="0" w:sz="0" w:val="nil"/>
              <w:bottom w:color="000000" w:space="0" w:sz="4" w:val="single"/>
            </w:tcBorders>
          </w:tcPr>
          <w:p w:rsidR="00000000" w:rsidDel="00000000" w:rsidP="00000000" w:rsidRDefault="00000000" w:rsidRPr="00000000" w14:paraId="000000A5">
            <w:pPr>
              <w:jc w:val="both"/>
              <w:rPr>
                <w:rFonts w:ascii="Arial" w:cs="Arial" w:eastAsia="Arial" w:hAnsi="Arial"/>
                <w:b w:val="1"/>
                <w:sz w:val="24"/>
                <w:szCs w:val="24"/>
              </w:rPr>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0A6">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Sebelum Larasan</w:t>
            </w:r>
          </w:p>
        </w:tc>
        <w:tc>
          <w:tcPr>
            <w:tcBorders>
              <w:top w:color="000000" w:space="0" w:sz="0" w:val="nil"/>
              <w:bottom w:color="000000" w:space="0" w:sz="4" w:val="single"/>
            </w:tcBorders>
          </w:tcPr>
          <w:p w:rsidR="00000000" w:rsidDel="00000000" w:rsidP="00000000" w:rsidRDefault="00000000" w:rsidRPr="00000000" w14:paraId="000000A7">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Selepas Larasan</w:t>
            </w:r>
          </w:p>
        </w:tc>
        <w:tc>
          <w:tcPr>
            <w:tcBorders>
              <w:top w:color="000000" w:space="0" w:sz="0" w:val="nil"/>
              <w:bottom w:color="000000" w:space="0" w:sz="4" w:val="single"/>
            </w:tcBorders>
          </w:tcPr>
          <w:p w:rsidR="00000000" w:rsidDel="00000000" w:rsidP="00000000" w:rsidRDefault="00000000" w:rsidRPr="00000000" w14:paraId="000000A8">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Sebelum Larasan</w:t>
            </w:r>
          </w:p>
        </w:tc>
        <w:tc>
          <w:tcPr>
            <w:tcBorders>
              <w:top w:color="000000" w:space="0" w:sz="0" w:val="nil"/>
              <w:bottom w:color="000000" w:space="0" w:sz="4" w:val="single"/>
            </w:tcBorders>
          </w:tcPr>
          <w:p w:rsidR="00000000" w:rsidDel="00000000" w:rsidP="00000000" w:rsidRDefault="00000000" w:rsidRPr="00000000" w14:paraId="000000A9">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Selepas Larasan</w:t>
            </w:r>
          </w:p>
        </w:tc>
      </w:tr>
      <w:tr>
        <w:trPr>
          <w:cantSplit w:val="0"/>
          <w:tblHeader w:val="0"/>
        </w:trPr>
        <w:tc>
          <w:tcPr>
            <w:tcBorders>
              <w:top w:color="000000" w:space="0" w:sz="4" w:val="single"/>
            </w:tcBorders>
          </w:tcPr>
          <w:p w:rsidR="00000000" w:rsidDel="00000000" w:rsidP="00000000" w:rsidRDefault="00000000" w:rsidRPr="00000000" w14:paraId="000000AA">
            <w:pPr>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Keperluan Perkhidmatan Kaunseling</w:t>
            </w:r>
            <w:r w:rsidDel="00000000" w:rsidR="00000000" w:rsidRPr="00000000">
              <w:rPr>
                <w:rtl w:val="0"/>
              </w:rPr>
            </w:r>
          </w:p>
        </w:tc>
        <w:tc>
          <w:tcPr>
            <w:tcBorders>
              <w:top w:color="000000" w:space="0" w:sz="4" w:val="single"/>
            </w:tcBorders>
          </w:tcPr>
          <w:p w:rsidR="00000000" w:rsidDel="00000000" w:rsidP="00000000" w:rsidRDefault="00000000" w:rsidRPr="00000000" w14:paraId="000000AB">
            <w:pPr>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10</w:t>
            </w:r>
            <w:r w:rsidDel="00000000" w:rsidR="00000000" w:rsidRPr="00000000">
              <w:rPr>
                <w:rtl w:val="0"/>
              </w:rPr>
            </w:r>
          </w:p>
        </w:tc>
        <w:tc>
          <w:tcPr>
            <w:tcBorders>
              <w:top w:color="000000" w:space="0" w:sz="4" w:val="single"/>
            </w:tcBorders>
          </w:tcPr>
          <w:p w:rsidR="00000000" w:rsidDel="00000000" w:rsidP="00000000" w:rsidRDefault="00000000" w:rsidRPr="00000000" w14:paraId="000000AC">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Kekal </w:t>
            </w:r>
          </w:p>
        </w:tc>
        <w:tc>
          <w:tcPr>
            <w:tcBorders>
              <w:top w:color="000000" w:space="0" w:sz="4" w:val="single"/>
            </w:tcBorders>
          </w:tcPr>
          <w:p w:rsidR="00000000" w:rsidDel="00000000" w:rsidP="00000000" w:rsidRDefault="00000000" w:rsidRPr="00000000" w14:paraId="000000AD">
            <w:pPr>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0.916</w:t>
            </w:r>
            <w:r w:rsidDel="00000000" w:rsidR="00000000" w:rsidRPr="00000000">
              <w:rPr>
                <w:rtl w:val="0"/>
              </w:rPr>
            </w:r>
          </w:p>
        </w:tc>
        <w:tc>
          <w:tcPr>
            <w:tcBorders>
              <w:top w:color="000000" w:space="0" w:sz="4" w:val="single"/>
            </w:tcBorders>
          </w:tcPr>
          <w:p w:rsidR="00000000" w:rsidDel="00000000" w:rsidP="00000000" w:rsidRDefault="00000000" w:rsidRPr="00000000" w14:paraId="000000AE">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0.931</w:t>
            </w:r>
          </w:p>
        </w:tc>
      </w:tr>
      <w:tr>
        <w:trPr>
          <w:cantSplit w:val="0"/>
          <w:tblHeader w:val="0"/>
        </w:trPr>
        <w:tc>
          <w:tcPr/>
          <w:p w:rsidR="00000000" w:rsidDel="00000000" w:rsidP="00000000" w:rsidRDefault="00000000" w:rsidRPr="00000000" w14:paraId="000000AF">
            <w:pPr>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Konflik Kerja Keluarga</w:t>
            </w:r>
            <w:r w:rsidDel="00000000" w:rsidR="00000000" w:rsidRPr="00000000">
              <w:rPr>
                <w:rtl w:val="0"/>
              </w:rPr>
            </w:r>
          </w:p>
        </w:tc>
        <w:tc>
          <w:tcPr/>
          <w:p w:rsidR="00000000" w:rsidDel="00000000" w:rsidP="00000000" w:rsidRDefault="00000000" w:rsidRPr="00000000" w14:paraId="000000B0">
            <w:pPr>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8</w:t>
            </w:r>
            <w:r w:rsidDel="00000000" w:rsidR="00000000" w:rsidRPr="00000000">
              <w:rPr>
                <w:rtl w:val="0"/>
              </w:rPr>
            </w:r>
          </w:p>
        </w:tc>
        <w:tc>
          <w:tcPr/>
          <w:p w:rsidR="00000000" w:rsidDel="00000000" w:rsidP="00000000" w:rsidRDefault="00000000" w:rsidRPr="00000000" w14:paraId="000000B1">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Kekal</w:t>
            </w:r>
          </w:p>
        </w:tc>
        <w:tc>
          <w:tcPr/>
          <w:p w:rsidR="00000000" w:rsidDel="00000000" w:rsidP="00000000" w:rsidRDefault="00000000" w:rsidRPr="00000000" w14:paraId="000000B2">
            <w:pPr>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0.907</w:t>
            </w:r>
            <w:r w:rsidDel="00000000" w:rsidR="00000000" w:rsidRPr="00000000">
              <w:rPr>
                <w:rtl w:val="0"/>
              </w:rPr>
            </w:r>
          </w:p>
        </w:tc>
        <w:tc>
          <w:tcPr/>
          <w:p w:rsidR="00000000" w:rsidDel="00000000" w:rsidP="00000000" w:rsidRDefault="00000000" w:rsidRPr="00000000" w14:paraId="000000B3">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0.902</w:t>
            </w:r>
          </w:p>
        </w:tc>
      </w:tr>
      <w:tr>
        <w:trPr>
          <w:cantSplit w:val="0"/>
          <w:tblHeader w:val="0"/>
        </w:trPr>
        <w:tc>
          <w:tcPr/>
          <w:p w:rsidR="00000000" w:rsidDel="00000000" w:rsidP="00000000" w:rsidRDefault="00000000" w:rsidRPr="00000000" w14:paraId="000000B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Kesihatan Mental</w:t>
            </w:r>
          </w:p>
        </w:tc>
        <w:tc>
          <w:tcPr/>
          <w:p w:rsidR="00000000" w:rsidDel="00000000" w:rsidP="00000000" w:rsidRDefault="00000000" w:rsidRPr="00000000" w14:paraId="000000B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p w:rsidR="00000000" w:rsidDel="00000000" w:rsidP="00000000" w:rsidRDefault="00000000" w:rsidRPr="00000000" w14:paraId="000000B6">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Kekal</w:t>
            </w:r>
          </w:p>
        </w:tc>
        <w:tc>
          <w:tcPr/>
          <w:p w:rsidR="00000000" w:rsidDel="00000000" w:rsidP="00000000" w:rsidRDefault="00000000" w:rsidRPr="00000000" w14:paraId="000000B7">
            <w:pPr>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0.891</w:t>
            </w:r>
            <w:r w:rsidDel="00000000" w:rsidR="00000000" w:rsidRPr="00000000">
              <w:rPr>
                <w:rtl w:val="0"/>
              </w:rPr>
            </w:r>
          </w:p>
        </w:tc>
        <w:tc>
          <w:tcPr/>
          <w:p w:rsidR="00000000" w:rsidDel="00000000" w:rsidP="00000000" w:rsidRDefault="00000000" w:rsidRPr="00000000" w14:paraId="000000B8">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0.931</w:t>
            </w:r>
          </w:p>
        </w:tc>
      </w:tr>
    </w:tbl>
    <w:p w:rsidR="00000000" w:rsidDel="00000000" w:rsidP="00000000" w:rsidRDefault="00000000" w:rsidRPr="00000000" w14:paraId="000000B9">
      <w:pPr>
        <w:spacing w:line="480" w:lineRule="auto"/>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Nota</w:t>
      </w:r>
      <w:r w:rsidDel="00000000" w:rsidR="00000000" w:rsidRPr="00000000">
        <w:rPr>
          <w:rFonts w:ascii="Arial" w:cs="Arial" w:eastAsia="Arial" w:hAnsi="Arial"/>
          <w:sz w:val="24"/>
          <w:szCs w:val="24"/>
          <w:rtl w:val="0"/>
        </w:rPr>
        <w:t xml:space="preserve"> : Keputusan Kebolehpercayaan Instrument</w:t>
      </w:r>
    </w:p>
    <w:p w:rsidR="00000000" w:rsidDel="00000000" w:rsidP="00000000" w:rsidRDefault="00000000" w:rsidRPr="00000000" w14:paraId="000000BA">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Data Analisis</w:t>
      </w:r>
    </w:p>
    <w:p w:rsidR="00000000" w:rsidDel="00000000" w:rsidP="00000000" w:rsidRDefault="00000000" w:rsidRPr="00000000" w14:paraId="000000B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Data analisis untuk kajian ini melibatkan beberapa pendekatan statistik bagi memastikan kebolehpercayaan dan kesahan instrumen yang digunakan. Pertama, analisis deskriptif dilakukan untuk mendapatkan gambaran umum tentang ciri-ciri demografi responden, termasuk umur, status perkahwinan, tempoh perkhidmatan, dan tahap pendidikan wanita profesional di MARA. Kedua, ujian kebolehpercayaan menggunakan </w:t>
      </w:r>
      <w:r w:rsidDel="00000000" w:rsidR="00000000" w:rsidRPr="00000000">
        <w:rPr>
          <w:rFonts w:ascii="Arial" w:cs="Arial" w:eastAsia="Arial" w:hAnsi="Arial"/>
          <w:i w:val="1"/>
          <w:sz w:val="24"/>
          <w:szCs w:val="24"/>
          <w:rtl w:val="0"/>
        </w:rPr>
        <w:t xml:space="preserve">Cronbach's alpha</w:t>
      </w:r>
      <w:r w:rsidDel="00000000" w:rsidR="00000000" w:rsidRPr="00000000">
        <w:rPr>
          <w:rFonts w:ascii="Arial" w:cs="Arial" w:eastAsia="Arial" w:hAnsi="Arial"/>
          <w:sz w:val="24"/>
          <w:szCs w:val="24"/>
          <w:rtl w:val="0"/>
        </w:rPr>
        <w:t xml:space="preserve"> dijalankan untuk menilai konsistensi dalaman soal selidik, dengan nilai alpha antara 0.90 hingga 0.93, menunjukkan tahap kebolehpercayaan yang tinggi untuk semua konstruk, seperti konflik kerja-keluarga, sokongan sosial, dan keperluan perkhidmatan kaunseling.</w:t>
      </w:r>
    </w:p>
    <w:p w:rsidR="00000000" w:rsidDel="00000000" w:rsidP="00000000" w:rsidRDefault="00000000" w:rsidRPr="00000000" w14:paraId="000000BC">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Seterusnya, analisis faktor pengesahan (CFA) digunakan untuk menilai kesahan konstruk dan memastikan bahawa setiap item soal selidik benar-benar mengukur konstruk yang dimaksudkan. Selain itu, </w:t>
      </w:r>
      <w:r w:rsidDel="00000000" w:rsidR="00000000" w:rsidRPr="00000000">
        <w:rPr>
          <w:rFonts w:ascii="Arial" w:cs="Arial" w:eastAsia="Arial" w:hAnsi="Arial"/>
          <w:i w:val="1"/>
          <w:sz w:val="24"/>
          <w:szCs w:val="24"/>
          <w:rtl w:val="0"/>
        </w:rPr>
        <w:t xml:space="preserve">analisis korelasi Pearson</w:t>
      </w:r>
      <w:r w:rsidDel="00000000" w:rsidR="00000000" w:rsidRPr="00000000">
        <w:rPr>
          <w:rFonts w:ascii="Arial" w:cs="Arial" w:eastAsia="Arial" w:hAnsi="Arial"/>
          <w:sz w:val="24"/>
          <w:szCs w:val="24"/>
          <w:rtl w:val="0"/>
        </w:rPr>
        <w:t xml:space="preserve"> dijalankan untuk menilai hubungan antara pembolehubah, seperti konflik kerja-keluarga, perkhidmatan kaunseling dan kesihatan mental, dengan tujuan mengukur kekuatan dan arah hubungan antara pembolehubah-pembolehubah tersebut.</w:t>
      </w:r>
    </w:p>
    <w:p w:rsidR="00000000" w:rsidDel="00000000" w:rsidP="00000000" w:rsidRDefault="00000000" w:rsidRPr="00000000" w14:paraId="000000BD">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Model Persamaan Struktural (SEM) digunakan untuk menguji hubungan kompleks antara konflik kerja-keluarga, kesihatan mental, serta peranan moderator  perkhidmatan kaunseling. SEM membolehkan penyelidik memahami interaksi langsung dan tidak langsung antara pembolehubah dalam kajian ini. Bagi memastikan kesahan instrumen, ujian kesahan dilakukan melalui kesahan konvergen dan kesahan diskriminan untuk memastikan konstruk diukur dengan tepat. Akhirnya, ujian regresi dijalankan untuk menilai pengaruh konflik kerja-keluarga terhadap kesihatan mental, serta peranan perkhidmatan kaunseling sebagai moderator dalam mengurangkan kesan konflik tersebut. Keseluruhan analisis ini memastikan instrumen dan model kajian adalah tepat, boleh dipercayai, dan sesuai untuk digunakan dalam kajian lanjutan.</w:t>
      </w:r>
    </w:p>
    <w:p w:rsidR="00000000" w:rsidDel="00000000" w:rsidP="00000000" w:rsidRDefault="00000000" w:rsidRPr="00000000" w14:paraId="000000BE">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DAPATAN KAJIAN </w:t>
      </w:r>
    </w:p>
    <w:p w:rsidR="00000000" w:rsidDel="00000000" w:rsidP="00000000" w:rsidRDefault="00000000" w:rsidRPr="00000000" w14:paraId="000000BF">
      <w:pPr>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Dapatan Analisis Statistik Deskriptif</w:t>
      </w:r>
      <w:r w:rsidDel="00000000" w:rsidR="00000000" w:rsidRPr="00000000">
        <w:rPr>
          <w:rtl w:val="0"/>
        </w:rPr>
      </w:r>
    </w:p>
    <w:p w:rsidR="00000000" w:rsidDel="00000000" w:rsidP="00000000" w:rsidRDefault="00000000" w:rsidRPr="00000000" w14:paraId="000000C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Bahagian ini membentangkan dapatan analisis statistik deskriptif bagi kajian. Statistik deskriptif digunakan untuk menerangkan ciri-ciri asas data kajian. Dapatan menunjukkan bahawa majoriti responden berada dalam lingkungan usia 40 hingga 49 tahun, dengan purata pendapatan bulanan antara RM6,000 hingga RM7,999. Selain itu, analisis menunjukkan tahap pendidikan tertinggi yang dicapai oleh responden adalah ijazah sarjana muda, dan kebanyakan responden telah berkahwin serta bekerja di luar bandar dengan purata jam kerja harian 7 hingga 8 jam. Maklumat ini memberikan gambaran menyeluruh mengenai ciri demografi dan latar belakang responden, membolehkan peneliti memahami konteks kajian dengan lebih jelas.</w:t>
      </w:r>
    </w:p>
    <w:p w:rsidR="00000000" w:rsidDel="00000000" w:rsidP="00000000" w:rsidRDefault="00000000" w:rsidRPr="00000000" w14:paraId="000000C1">
      <w:pPr>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Analisis </w:t>
      </w:r>
      <w:r w:rsidDel="00000000" w:rsidR="00000000" w:rsidRPr="00000000">
        <w:rPr>
          <w:rFonts w:ascii="Arial" w:cs="Arial" w:eastAsia="Arial" w:hAnsi="Arial"/>
          <w:b w:val="1"/>
          <w:i w:val="1"/>
          <w:sz w:val="24"/>
          <w:szCs w:val="24"/>
          <w:rtl w:val="0"/>
        </w:rPr>
        <w:t xml:space="preserve">Outer Loadings</w:t>
      </w:r>
      <w:r w:rsidDel="00000000" w:rsidR="00000000" w:rsidRPr="00000000">
        <w:rPr>
          <w:rtl w:val="0"/>
        </w:rPr>
      </w:r>
    </w:p>
    <w:p w:rsidR="00000000" w:rsidDel="00000000" w:rsidP="00000000" w:rsidRDefault="00000000" w:rsidRPr="00000000" w14:paraId="000000C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Dalam kajian ini, semua indikator bagi konstruk yang dikaji menunjukkan nilai yang memenuhi kriteria kebolehpercayaan yang diterima, iaitu melebihi 0.7. Ini menunjukkan kesahan yang baik untuk kesemua indikator dalam mengukur konstruk laten masing-masing (Hair et al., 2017). Bagi konstruk Konflik Kerja Keluarga, mencatatkan nilai </w:t>
      </w:r>
      <w:r w:rsidDel="00000000" w:rsidR="00000000" w:rsidRPr="00000000">
        <w:rPr>
          <w:rFonts w:ascii="Arial" w:cs="Arial" w:eastAsia="Arial" w:hAnsi="Arial"/>
          <w:i w:val="1"/>
          <w:sz w:val="24"/>
          <w:szCs w:val="24"/>
          <w:rtl w:val="0"/>
        </w:rPr>
        <w:t xml:space="preserve">Outer Loadings</w:t>
      </w:r>
      <w:r w:rsidDel="00000000" w:rsidR="00000000" w:rsidRPr="00000000">
        <w:rPr>
          <w:rFonts w:ascii="Arial" w:cs="Arial" w:eastAsia="Arial" w:hAnsi="Arial"/>
          <w:sz w:val="24"/>
          <w:szCs w:val="24"/>
          <w:rtl w:val="0"/>
        </w:rPr>
        <w:t xml:space="preserve"> yang sangat tinggi, iaitu sekitar 0.876 sehingga 0.954. Ini menunjukkan hubungan yang kuat antara indikator tersebut dengan konstruk Konflik Kerja Keluarga, menandakan kedua-dua indikator ini sangat sesuai untuk digunakan dalam model pengukuran.</w:t>
      </w:r>
    </w:p>
    <w:p w:rsidR="00000000" w:rsidDel="00000000" w:rsidP="00000000" w:rsidRDefault="00000000" w:rsidRPr="00000000" w14:paraId="000000C3">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Untuk konstruk Kesihatan Mental, semua indikator mencatatkan nilai </w:t>
      </w:r>
      <w:r w:rsidDel="00000000" w:rsidR="00000000" w:rsidRPr="00000000">
        <w:rPr>
          <w:rFonts w:ascii="Arial" w:cs="Arial" w:eastAsia="Arial" w:hAnsi="Arial"/>
          <w:i w:val="1"/>
          <w:sz w:val="24"/>
          <w:szCs w:val="24"/>
          <w:rtl w:val="0"/>
        </w:rPr>
        <w:t xml:space="preserve">Outer Loadings</w:t>
      </w:r>
      <w:r w:rsidDel="00000000" w:rsidR="00000000" w:rsidRPr="00000000">
        <w:rPr>
          <w:rFonts w:ascii="Arial" w:cs="Arial" w:eastAsia="Arial" w:hAnsi="Arial"/>
          <w:sz w:val="24"/>
          <w:szCs w:val="24"/>
          <w:rtl w:val="0"/>
        </w:rPr>
        <w:t xml:space="preserve"> antara 0.795 hingga 0.896. Walaupun terdapat sedikit variasi dalam kekuatan hubungan antara indikator, kesemua indikator ini dianggap sah dan boleh diterima dalam mengukur konstruk ini. Ini menunjukkan bahawa walaupun terdapat perbezaan kecil dalam kekuatan hubungan, kesemua indikator memberikan sumbangan yang konsisten dan boleh dipercayai dalam mengukur Kesihatan Mental.</w:t>
      </w:r>
    </w:p>
    <w:p w:rsidR="00000000" w:rsidDel="00000000" w:rsidP="00000000" w:rsidRDefault="00000000" w:rsidRPr="00000000" w14:paraId="000000C4">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Bagi konstruk Perkhidmatan Kaunseling, nilai </w:t>
      </w:r>
      <w:r w:rsidDel="00000000" w:rsidR="00000000" w:rsidRPr="00000000">
        <w:rPr>
          <w:rFonts w:ascii="Arial" w:cs="Arial" w:eastAsia="Arial" w:hAnsi="Arial"/>
          <w:i w:val="1"/>
          <w:sz w:val="24"/>
          <w:szCs w:val="24"/>
          <w:rtl w:val="0"/>
        </w:rPr>
        <w:t xml:space="preserve">Outer Loadings</w:t>
      </w:r>
      <w:r w:rsidDel="00000000" w:rsidR="00000000" w:rsidRPr="00000000">
        <w:rPr>
          <w:rFonts w:ascii="Arial" w:cs="Arial" w:eastAsia="Arial" w:hAnsi="Arial"/>
          <w:sz w:val="24"/>
          <w:szCs w:val="24"/>
          <w:rtl w:val="0"/>
        </w:rPr>
        <w:t xml:space="preserve"> berkisar antara 0.710 hingga 0.807. Walaupun terdapat perbezaan dalam kekuatan hubungan antara indikator, kesemua nilai </w:t>
      </w:r>
      <w:r w:rsidDel="00000000" w:rsidR="00000000" w:rsidRPr="00000000">
        <w:rPr>
          <w:rFonts w:ascii="Arial" w:cs="Arial" w:eastAsia="Arial" w:hAnsi="Arial"/>
          <w:i w:val="1"/>
          <w:sz w:val="24"/>
          <w:szCs w:val="24"/>
          <w:rtl w:val="0"/>
        </w:rPr>
        <w:t xml:space="preserve">Outer Loadings</w:t>
      </w:r>
      <w:r w:rsidDel="00000000" w:rsidR="00000000" w:rsidRPr="00000000">
        <w:rPr>
          <w:rFonts w:ascii="Arial" w:cs="Arial" w:eastAsia="Arial" w:hAnsi="Arial"/>
          <w:sz w:val="24"/>
          <w:szCs w:val="24"/>
          <w:rtl w:val="0"/>
        </w:rPr>
        <w:t xml:space="preserve"> dianggap memadai untuk menyokong kesahan konstruk ini dalam kajian. Secara keseluruhannya, semua indikator yang dianalisis menunjukkan tahap kesahan dan kebolehpercayaan yang tinggi, dengan nilai </w:t>
      </w:r>
      <w:r w:rsidDel="00000000" w:rsidR="00000000" w:rsidRPr="00000000">
        <w:rPr>
          <w:rFonts w:ascii="Arial" w:cs="Arial" w:eastAsia="Arial" w:hAnsi="Arial"/>
          <w:i w:val="1"/>
          <w:sz w:val="24"/>
          <w:szCs w:val="24"/>
          <w:rtl w:val="0"/>
        </w:rPr>
        <w:t xml:space="preserve">Outer Loadings</w:t>
      </w:r>
      <w:r w:rsidDel="00000000" w:rsidR="00000000" w:rsidRPr="00000000">
        <w:rPr>
          <w:rFonts w:ascii="Arial" w:cs="Arial" w:eastAsia="Arial" w:hAnsi="Arial"/>
          <w:sz w:val="24"/>
          <w:szCs w:val="24"/>
          <w:rtl w:val="0"/>
        </w:rPr>
        <w:t xml:space="preserve"> melebihi 0.7. Nilai ini menunjukkan bahawa kesemua konstruk yang diuji adalah stabil dan sesuai untuk digunakan dalam kajian lanjut. Kesahan dan kebolehpercayaan yang tinggi ini juga mengesahkan bahawa model pengukuran yang digunakan adalah boleh dipercayai dan mampu memberikan hasil yang tepat dalam konteks kajian ini.</w:t>
      </w:r>
    </w:p>
    <w:p w:rsidR="00000000" w:rsidDel="00000000" w:rsidP="00000000" w:rsidRDefault="00000000" w:rsidRPr="00000000" w14:paraId="000000C5">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Memandangkan kajian ini menggunakan PLS-SEM (</w:t>
      </w:r>
      <w:r w:rsidDel="00000000" w:rsidR="00000000" w:rsidRPr="00000000">
        <w:rPr>
          <w:rFonts w:ascii="Arial" w:cs="Arial" w:eastAsia="Arial" w:hAnsi="Arial"/>
          <w:i w:val="1"/>
          <w:sz w:val="24"/>
          <w:szCs w:val="24"/>
          <w:rtl w:val="0"/>
        </w:rPr>
        <w:t xml:space="preserve">Partial Least Squares Structural Equation Modeling</w:t>
      </w:r>
      <w:r w:rsidDel="00000000" w:rsidR="00000000" w:rsidRPr="00000000">
        <w:rPr>
          <w:rFonts w:ascii="Arial" w:cs="Arial" w:eastAsia="Arial" w:hAnsi="Arial"/>
          <w:sz w:val="24"/>
          <w:szCs w:val="24"/>
          <w:rtl w:val="0"/>
        </w:rPr>
        <w:t xml:space="preserve">), pemeriksaan terhadap Skewness dan Kurtosis tidak diperlukan secara khusus. PLS-SEM bersifat tidak sensitif terhadap taburan data, berbanding dengan kaedah SEM tradisional seperti CB-SEM (</w:t>
      </w:r>
      <w:r w:rsidDel="00000000" w:rsidR="00000000" w:rsidRPr="00000000">
        <w:rPr>
          <w:rFonts w:ascii="Arial" w:cs="Arial" w:eastAsia="Arial" w:hAnsi="Arial"/>
          <w:i w:val="1"/>
          <w:sz w:val="24"/>
          <w:szCs w:val="24"/>
          <w:rtl w:val="0"/>
        </w:rPr>
        <w:t xml:space="preserve">Covariance-Based SEM),</w:t>
      </w:r>
      <w:r w:rsidDel="00000000" w:rsidR="00000000" w:rsidRPr="00000000">
        <w:rPr>
          <w:rFonts w:ascii="Arial" w:cs="Arial" w:eastAsia="Arial" w:hAnsi="Arial"/>
          <w:sz w:val="24"/>
          <w:szCs w:val="24"/>
          <w:rtl w:val="0"/>
        </w:rPr>
        <w:t xml:space="preserve"> yang memerlukan data dengan taburan normal (Hair et al., 2014). Oleh itu, PLS-SEM lebih sesuai digunakan apabila terdapat isu dengan taburan data seperti Skewness dan Kurtosis, kerana ia dapat menangani kekangan ini dan memberikan hasil yang lebih kukuh dalam situasi tersebut (Hair, Hult, Ringle, &amp; Sarstedt, 2017).</w:t>
      </w:r>
    </w:p>
    <w:p w:rsidR="00000000" w:rsidDel="00000000" w:rsidP="00000000" w:rsidRDefault="00000000" w:rsidRPr="00000000" w14:paraId="000000C6">
      <w:pPr>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7">
      <w:pPr>
        <w:spacing w:after="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Penilaian Model Luar Pemboleh Ubah</w:t>
      </w:r>
    </w:p>
    <w:p w:rsidR="00000000" w:rsidDel="00000000" w:rsidP="00000000" w:rsidRDefault="00000000" w:rsidRPr="00000000" w14:paraId="000000C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Penilaian model luar bagi setiap pemboleh ubah menunjukkan keputusan yang baik dari segi kebolehpercayaan. Nilai </w:t>
      </w:r>
      <w:r w:rsidDel="00000000" w:rsidR="00000000" w:rsidRPr="00000000">
        <w:rPr>
          <w:rFonts w:ascii="Arial" w:cs="Arial" w:eastAsia="Arial" w:hAnsi="Arial"/>
          <w:i w:val="1"/>
          <w:sz w:val="24"/>
          <w:szCs w:val="24"/>
          <w:rtl w:val="0"/>
        </w:rPr>
        <w:t xml:space="preserve">Cronbach’s Alpha, Rho A</w:t>
      </w:r>
      <w:r w:rsidDel="00000000" w:rsidR="00000000" w:rsidRPr="00000000">
        <w:rPr>
          <w:rFonts w:ascii="Arial" w:cs="Arial" w:eastAsia="Arial" w:hAnsi="Arial"/>
          <w:sz w:val="24"/>
          <w:szCs w:val="24"/>
          <w:rtl w:val="0"/>
        </w:rPr>
        <w:t xml:space="preserve">, dan </w:t>
      </w:r>
      <w:r w:rsidDel="00000000" w:rsidR="00000000" w:rsidRPr="00000000">
        <w:rPr>
          <w:rFonts w:ascii="Arial" w:cs="Arial" w:eastAsia="Arial" w:hAnsi="Arial"/>
          <w:i w:val="1"/>
          <w:sz w:val="24"/>
          <w:szCs w:val="24"/>
          <w:rtl w:val="0"/>
        </w:rPr>
        <w:t xml:space="preserve">Composite Reliability</w:t>
      </w:r>
      <w:r w:rsidDel="00000000" w:rsidR="00000000" w:rsidRPr="00000000">
        <w:rPr>
          <w:rFonts w:ascii="Arial" w:cs="Arial" w:eastAsia="Arial" w:hAnsi="Arial"/>
          <w:sz w:val="24"/>
          <w:szCs w:val="24"/>
          <w:rtl w:val="0"/>
        </w:rPr>
        <w:t xml:space="preserve"> untuk semua pemboleh ubah melebihi 0.70, seperti yang disarankan oleh Hair et al. (2022). Ini bermakna konsistensi dalaman setiap indikator atau item yang mengukur semua pemboleh ubah kajian adalah dipenuhi dan dianggap boleh diterima. Pemboleh ubah seperti Konflik Kerja Keluarga, Kesihatan Mental, dan Keperluan Perkhidmatan Kaunseling boleh digunakan untuk mengukur kajian ini.</w:t>
      </w:r>
    </w:p>
    <w:p w:rsidR="00000000" w:rsidDel="00000000" w:rsidP="00000000" w:rsidRDefault="00000000" w:rsidRPr="00000000" w14:paraId="000000C9">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Selain itu, untuk kesahan konvergen, nilai AVE (</w:t>
      </w:r>
      <w:r w:rsidDel="00000000" w:rsidR="00000000" w:rsidRPr="00000000">
        <w:rPr>
          <w:rFonts w:ascii="Arial" w:cs="Arial" w:eastAsia="Arial" w:hAnsi="Arial"/>
          <w:i w:val="1"/>
          <w:sz w:val="24"/>
          <w:szCs w:val="24"/>
          <w:rtl w:val="0"/>
        </w:rPr>
        <w:t xml:space="preserve">Average Variance Extracted</w:t>
      </w:r>
      <w:r w:rsidDel="00000000" w:rsidR="00000000" w:rsidRPr="00000000">
        <w:rPr>
          <w:rFonts w:ascii="Arial" w:cs="Arial" w:eastAsia="Arial" w:hAnsi="Arial"/>
          <w:sz w:val="24"/>
          <w:szCs w:val="24"/>
          <w:rtl w:val="0"/>
        </w:rPr>
        <w:t xml:space="preserve">) yang disyorkan adalah lebih daripada 0.50 (Hair et al., 2022). Berdasarkan analisis, nilai AVE bagi semua pemboleh ubah adalah melebihi 0.50, yang menunjukkan kesahan konvergen diterima. Sebagai contoh, pemboleh ubah Konflik Kerja Keluarga mempunyai AVE sebanyak 0.898, terkandung dalam pemboleh ubah tersebut, melebihi had minimum (&gt;50%). Oleh itu, kesahan konvergen untuk pemboleh ubah Konflik Kerja Keluarga dipenuhi. Begitu juga dengan pemboleh ubah Kesihatan Mental, dan Keperluan Perkhidmatan Kaunseling, yang semuanya mempunyai AVE lebih dari 50%, menunjukkan bahawa kesahan konvergen untuk semua pemboleh ubah kajian adalah diterima.</w:t>
      </w:r>
    </w:p>
    <w:p w:rsidR="00000000" w:rsidDel="00000000" w:rsidP="00000000" w:rsidRDefault="00000000" w:rsidRPr="00000000" w14:paraId="000000CA">
      <w:pPr>
        <w:spacing w:after="0" w:line="48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Penilaian Kesahan Diskriminan</w:t>
      </w:r>
    </w:p>
    <w:p w:rsidR="00000000" w:rsidDel="00000000" w:rsidP="00000000" w:rsidRDefault="00000000" w:rsidRPr="00000000" w14:paraId="000000C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Penilaian kesahan diskriminan bagi setiap pemboleh ubah dilakukan menggunakan kaedah HTMT </w:t>
      </w:r>
      <w:r w:rsidDel="00000000" w:rsidR="00000000" w:rsidRPr="00000000">
        <w:rPr>
          <w:rFonts w:ascii="Arial" w:cs="Arial" w:eastAsia="Arial" w:hAnsi="Arial"/>
          <w:i w:val="1"/>
          <w:sz w:val="24"/>
          <w:szCs w:val="24"/>
          <w:rtl w:val="0"/>
        </w:rPr>
        <w:t xml:space="preserve">(Heterotrait-Monotrait Ratio</w:t>
      </w:r>
      <w:r w:rsidDel="00000000" w:rsidR="00000000" w:rsidRPr="00000000">
        <w:rPr>
          <w:rFonts w:ascii="Arial" w:cs="Arial" w:eastAsia="Arial" w:hAnsi="Arial"/>
          <w:sz w:val="24"/>
          <w:szCs w:val="24"/>
          <w:rtl w:val="0"/>
        </w:rPr>
        <w:t xml:space="preserve">). Menurut Henseler dan Sarstedt (2015), jika nilai HTMT kurang daripada 0.90, maka validiti diskriminan diterima. Hasil analisis menunjukkan bahawa semua pasangan pemboleh ubah mempunyai nilai HTMT kurang daripada 0.90, yang bermaksud kesahan diskriminan bagi setiap pemboleh ubah adalah diterima. Ini mengesahkan bahawa setiap pemboleh ubah mempunyai lebih banyak perkongsian varians dengan dimensi yang mengukurnya, berbanding dengan dimensi pada pemboleh ubah lain.</w:t>
      </w:r>
    </w:p>
    <w:p w:rsidR="00000000" w:rsidDel="00000000" w:rsidP="00000000" w:rsidRDefault="00000000" w:rsidRPr="00000000" w14:paraId="000000CC">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Analisis Fornell-Larcker</w:t>
      </w:r>
    </w:p>
    <w:p w:rsidR="00000000" w:rsidDel="00000000" w:rsidP="00000000" w:rsidRDefault="00000000" w:rsidRPr="00000000" w14:paraId="000000C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Berdasarkan analisis Fornell-Larcker, kesahan diskriminan bagi pemboleh ubah Kaunseling, Kesihatan Mental, dan Konflik Kerja Keluarga dipenuhi. Ini kerana nilai  kuasa dua AVE bagi setiap pemboleh ubah adalah lebih tinggi daripada korelasi dengan pemboleh ubah lain dalam model. Sebagai contoh, nilai AVE bagi Perkhidmatan Kaunseling adalah 0.772, lebih tinggi daripada korelasi antara Perkhidmatan Kaunseling dan Kesihatan Mental (-0.221) serta Konflik Kerja Keluarga (-0.082). Begitu juga, Kesihatan Mental (0.875) dan Konflik Kerja Keluarga (0.948) menunjukkan kesahan diskriminan yang mencukupi. Ini mengesahkan bahawa setiap pemboleh ubah lebih berkaitan dengan indikatornya sendiri berbanding dengan pemboleh ubah lain (Fornell &amp; Larcker, 1981).</w:t>
      </w:r>
    </w:p>
    <w:p w:rsidR="00000000" w:rsidDel="00000000" w:rsidP="00000000" w:rsidRDefault="00000000" w:rsidRPr="00000000" w14:paraId="000000CE">
      <w:pPr>
        <w:spacing w:after="0" w:line="480" w:lineRule="auto"/>
        <w:rPr>
          <w:rFonts w:ascii="Arial" w:cs="Arial" w:eastAsia="Arial" w:hAnsi="Arial"/>
          <w:b w:val="1"/>
          <w:i w:val="1"/>
          <w:sz w:val="24"/>
          <w:szCs w:val="24"/>
        </w:rPr>
      </w:pPr>
      <w:r w:rsidDel="00000000" w:rsidR="00000000" w:rsidRPr="00000000">
        <w:rPr>
          <w:rFonts w:ascii="Arial" w:cs="Arial" w:eastAsia="Arial" w:hAnsi="Arial"/>
          <w:b w:val="1"/>
          <w:sz w:val="24"/>
          <w:szCs w:val="24"/>
          <w:rtl w:val="0"/>
        </w:rPr>
        <w:t xml:space="preserve">Analisis </w:t>
      </w:r>
      <w:r w:rsidDel="00000000" w:rsidR="00000000" w:rsidRPr="00000000">
        <w:rPr>
          <w:rFonts w:ascii="Arial" w:cs="Arial" w:eastAsia="Arial" w:hAnsi="Arial"/>
          <w:b w:val="1"/>
          <w:i w:val="1"/>
          <w:sz w:val="24"/>
          <w:szCs w:val="24"/>
          <w:rtl w:val="0"/>
        </w:rPr>
        <w:t xml:space="preserve">Cross Loadings</w:t>
      </w:r>
    </w:p>
    <w:p w:rsidR="00000000" w:rsidDel="00000000" w:rsidP="00000000" w:rsidRDefault="00000000" w:rsidRPr="00000000" w14:paraId="000000C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Berdasarkan analisis Cross Loadings, nilai Outer Loadings tertinggi dicatatkan oleh konstruk Konflik Kerja Keluarga dengan nilai 0.954, manakala nilai terendah untuk konstruk ini adalah dengan nilai 0.943. Bagi konstruk Kesihatan Mental, nilai tertinggi dicatatkan oleh dengan nilai 0.896, manakala nilai terendah adalah konstruk Kesihatan Mental dengan nilai 0.795. Bagi konstruk Perkhidmatan Kaunseling, nilai tertinggi dicatatkan dengan nilai 0.807, dan nilai terendah adalah konstruk Perkhidmatan Kaunseling dengan nilai 0.710. Kesemua nilai ini berada di atas nilai minimum 0.7, menunjukkan kesahan dan kebolehpercayaan yang baik untuk semua konstruk dalam kajian ini.</w:t>
      </w:r>
    </w:p>
    <w:p w:rsidR="00000000" w:rsidDel="00000000" w:rsidP="00000000" w:rsidRDefault="00000000" w:rsidRPr="00000000" w14:paraId="000000D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D1">
      <w:pPr>
        <w:spacing w:after="0" w:line="240" w:lineRule="auto"/>
        <w:jc w:val="both"/>
        <w:rPr>
          <w:rFonts w:ascii="Arial" w:cs="Arial" w:eastAsia="Arial" w:hAnsi="Arial"/>
          <w:b w:val="1"/>
          <w:i w:val="1"/>
          <w:sz w:val="24"/>
          <w:szCs w:val="24"/>
        </w:rPr>
      </w:pPr>
      <w:r w:rsidDel="00000000" w:rsidR="00000000" w:rsidRPr="00000000">
        <w:rPr>
          <w:rFonts w:ascii="Arial" w:cs="Arial" w:eastAsia="Arial" w:hAnsi="Arial"/>
          <w:b w:val="1"/>
          <w:sz w:val="24"/>
          <w:szCs w:val="24"/>
          <w:rtl w:val="0"/>
        </w:rPr>
        <w:t xml:space="preserve">Analisis </w:t>
      </w:r>
      <w:r w:rsidDel="00000000" w:rsidR="00000000" w:rsidRPr="00000000">
        <w:rPr>
          <w:rFonts w:ascii="Arial" w:cs="Arial" w:eastAsia="Arial" w:hAnsi="Arial"/>
          <w:b w:val="1"/>
          <w:i w:val="1"/>
          <w:sz w:val="24"/>
          <w:szCs w:val="24"/>
          <w:rtl w:val="0"/>
        </w:rPr>
        <w:t xml:space="preserve">Variance Inflation Factor</w:t>
      </w:r>
    </w:p>
    <w:p w:rsidR="00000000" w:rsidDel="00000000" w:rsidP="00000000" w:rsidRDefault="00000000" w:rsidRPr="00000000" w14:paraId="000000D2">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Berdasarkan analisis </w:t>
      </w:r>
      <w:r w:rsidDel="00000000" w:rsidR="00000000" w:rsidRPr="00000000">
        <w:rPr>
          <w:rFonts w:ascii="Arial" w:cs="Arial" w:eastAsia="Arial" w:hAnsi="Arial"/>
          <w:i w:val="1"/>
          <w:sz w:val="24"/>
          <w:szCs w:val="24"/>
          <w:rtl w:val="0"/>
        </w:rPr>
        <w:t xml:space="preserve">Variance Inflation Factor (VIF),</w:t>
      </w:r>
      <w:r w:rsidDel="00000000" w:rsidR="00000000" w:rsidRPr="00000000">
        <w:rPr>
          <w:rFonts w:ascii="Arial" w:cs="Arial" w:eastAsia="Arial" w:hAnsi="Arial"/>
          <w:sz w:val="24"/>
          <w:szCs w:val="24"/>
          <w:rtl w:val="0"/>
        </w:rPr>
        <w:t xml:space="preserve"> semua pembolehubah dalam model kajian menunjukkan nilai VIF yang rendah, dengan tiada satupun melebihi nilai 10, yang merupakan had am bagi mengesan isu multikolineariti. Nilai VIF untuk Konflik Kerja Keluarga terhadap Kesihatan Mental ialah 1.075, manakala Perkhidmatan Kaunseling terhadap Kesihatan Mental mencatatkan VIF sebanyak 1.064. Bagi interaksi Perkhidmatan Kaunseling dengan Konflik Kerja Keluarga terhadap Kesihatan Mental, nilai VIF adalah 1.067. Kesemua nilai ini menunjukkan bahawa tahap multikolineariti antara pembolehubah adalah rendah dan berada dalam julat yang diterima. Oleh itu, model ini bebas daripada masalah multikolineariti yang boleh mengganggu kesahihan analisis, memastikan anggaran yang lebih stabil dan tepat dalam mengukur hubungan antara pembolehubah kajian.</w:t>
      </w:r>
    </w:p>
    <w:p w:rsidR="00000000" w:rsidDel="00000000" w:rsidP="00000000" w:rsidRDefault="00000000" w:rsidRPr="00000000" w14:paraId="000000D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5">
      <w:pPr>
        <w:spacing w:after="0" w:line="48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D6">
      <w:pPr>
        <w:spacing w:after="0" w:line="48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Jadual 4</w:t>
      </w:r>
    </w:p>
    <w:p w:rsidR="00000000" w:rsidDel="00000000" w:rsidP="00000000" w:rsidRDefault="00000000" w:rsidRPr="00000000" w14:paraId="000000D7">
      <w:pPr>
        <w:spacing w:after="0" w:line="480" w:lineRule="auto"/>
        <w:jc w:val="both"/>
        <w:rPr>
          <w:rFonts w:ascii="Arial" w:cs="Arial" w:eastAsia="Arial" w:hAnsi="Arial"/>
          <w:b w:val="1"/>
          <w:i w:val="1"/>
          <w:sz w:val="24"/>
          <w:szCs w:val="24"/>
        </w:rPr>
      </w:pPr>
      <w:r w:rsidDel="00000000" w:rsidR="00000000" w:rsidRPr="00000000">
        <w:rPr>
          <w:rFonts w:ascii="Arial" w:cs="Arial" w:eastAsia="Arial" w:hAnsi="Arial"/>
          <w:b w:val="1"/>
          <w:i w:val="1"/>
          <w:sz w:val="24"/>
          <w:szCs w:val="24"/>
          <w:rtl w:val="0"/>
        </w:rPr>
        <w:t xml:space="preserve">Analisis Hubungan Langsung Pembolehubah</w:t>
      </w:r>
    </w:p>
    <w:tbl>
      <w:tblPr>
        <w:tblStyle w:val="Table4"/>
        <w:tblW w:w="8933.0" w:type="dxa"/>
        <w:jc w:val="left"/>
        <w:tblInd w:w="93.0" w:type="dxa"/>
        <w:tblBorders>
          <w:top w:color="000000" w:space="0" w:sz="4" w:val="single"/>
          <w:bottom w:color="000000" w:space="0" w:sz="4" w:val="single"/>
        </w:tblBorders>
        <w:tblLayout w:type="fixed"/>
        <w:tblLook w:val="0400"/>
      </w:tblPr>
      <w:tblGrid>
        <w:gridCol w:w="1228"/>
        <w:gridCol w:w="2509"/>
        <w:gridCol w:w="1273"/>
        <w:gridCol w:w="1555"/>
        <w:gridCol w:w="910"/>
        <w:gridCol w:w="1458"/>
        <w:tblGridChange w:id="0">
          <w:tblGrid>
            <w:gridCol w:w="1228"/>
            <w:gridCol w:w="2509"/>
            <w:gridCol w:w="1273"/>
            <w:gridCol w:w="1555"/>
            <w:gridCol w:w="910"/>
            <w:gridCol w:w="1458"/>
          </w:tblGrid>
        </w:tblGridChange>
      </w:tblGrid>
      <w:tr>
        <w:trPr>
          <w:cantSplit w:val="0"/>
          <w:trHeight w:val="300" w:hRule="atLeast"/>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D8">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Hipotesis</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D9">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Pernyataan hipotesis</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DA">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Original sample (O)</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DB">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 statistics (|O/STDEV|)</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DC">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 values</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DD">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Keterangan hipotesis null</w:t>
            </w:r>
          </w:p>
        </w:tc>
      </w:tr>
      <w:tr>
        <w:trPr>
          <w:cantSplit w:val="0"/>
          <w:trHeight w:val="300" w:hRule="atLeast"/>
          <w:tblHeader w:val="0"/>
        </w:trPr>
        <w:tc>
          <w:tcPr>
            <w:tcBorders>
              <w:top w:color="000000" w:space="0" w:sz="4" w:val="single"/>
            </w:tcBorders>
            <w:shd w:fill="auto" w:val="clear"/>
            <w:vAlign w:val="center"/>
          </w:tcPr>
          <w:p w:rsidR="00000000" w:rsidDel="00000000" w:rsidP="00000000" w:rsidRDefault="00000000" w:rsidRPr="00000000" w14:paraId="000000DE">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H1</w:t>
            </w:r>
          </w:p>
        </w:tc>
        <w:tc>
          <w:tcPr>
            <w:tcBorders>
              <w:top w:color="000000" w:space="0" w:sz="4" w:val="single"/>
            </w:tcBorders>
            <w:shd w:fill="auto" w:val="clear"/>
            <w:vAlign w:val="bottom"/>
          </w:tcPr>
          <w:p w:rsidR="00000000" w:rsidDel="00000000" w:rsidP="00000000" w:rsidRDefault="00000000" w:rsidRPr="00000000" w14:paraId="000000DF">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Konflik Kerja Keluarga -&gt; Kesihatan Mental</w:t>
            </w:r>
          </w:p>
        </w:tc>
        <w:tc>
          <w:tcPr>
            <w:tcBorders>
              <w:top w:color="000000" w:space="0" w:sz="4" w:val="single"/>
            </w:tcBorders>
            <w:shd w:fill="auto" w:val="clear"/>
            <w:vAlign w:val="center"/>
          </w:tcPr>
          <w:p w:rsidR="00000000" w:rsidDel="00000000" w:rsidP="00000000" w:rsidRDefault="00000000" w:rsidRPr="00000000" w14:paraId="000000E0">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0.522</w:t>
            </w:r>
          </w:p>
        </w:tc>
        <w:tc>
          <w:tcPr>
            <w:tcBorders>
              <w:top w:color="000000" w:space="0" w:sz="4" w:val="single"/>
            </w:tcBorders>
            <w:shd w:fill="auto" w:val="clear"/>
            <w:vAlign w:val="center"/>
          </w:tcPr>
          <w:p w:rsidR="00000000" w:rsidDel="00000000" w:rsidP="00000000" w:rsidRDefault="00000000" w:rsidRPr="00000000" w14:paraId="000000E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16.097</w:t>
            </w:r>
          </w:p>
        </w:tc>
        <w:tc>
          <w:tcPr>
            <w:tcBorders>
              <w:top w:color="000000" w:space="0" w:sz="4" w:val="single"/>
            </w:tcBorders>
            <w:shd w:fill="auto" w:val="clear"/>
            <w:vAlign w:val="center"/>
          </w:tcPr>
          <w:p w:rsidR="00000000" w:rsidDel="00000000" w:rsidP="00000000" w:rsidRDefault="00000000" w:rsidRPr="00000000" w14:paraId="000000E2">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0.000</w:t>
            </w:r>
          </w:p>
        </w:tc>
        <w:tc>
          <w:tcPr>
            <w:tcBorders>
              <w:top w:color="000000" w:space="0" w:sz="4" w:val="single"/>
            </w:tcBorders>
            <w:shd w:fill="auto" w:val="clear"/>
            <w:vAlign w:val="center"/>
          </w:tcPr>
          <w:p w:rsidR="00000000" w:rsidDel="00000000" w:rsidP="00000000" w:rsidRDefault="00000000" w:rsidRPr="00000000" w14:paraId="000000E3">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Ditolak</w:t>
            </w:r>
          </w:p>
        </w:tc>
      </w:tr>
      <w:tr>
        <w:trPr>
          <w:cantSplit w:val="0"/>
          <w:trHeight w:val="300" w:hRule="atLeast"/>
          <w:tblHeader w:val="0"/>
        </w:trPr>
        <w:tc>
          <w:tcPr>
            <w:shd w:fill="auto" w:val="clear"/>
            <w:vAlign w:val="center"/>
          </w:tcPr>
          <w:p w:rsidR="00000000" w:rsidDel="00000000" w:rsidP="00000000" w:rsidRDefault="00000000" w:rsidRPr="00000000" w14:paraId="000000E4">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H2</w:t>
            </w:r>
          </w:p>
        </w:tc>
        <w:tc>
          <w:tcPr>
            <w:shd w:fill="auto" w:val="clear"/>
            <w:vAlign w:val="bottom"/>
          </w:tcPr>
          <w:p w:rsidR="00000000" w:rsidDel="00000000" w:rsidP="00000000" w:rsidRDefault="00000000" w:rsidRPr="00000000" w14:paraId="000000E5">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Kaunseling -&gt; Kesihatan Mental</w:t>
            </w:r>
          </w:p>
        </w:tc>
        <w:tc>
          <w:tcPr>
            <w:shd w:fill="auto" w:val="clear"/>
            <w:vAlign w:val="center"/>
          </w:tcPr>
          <w:p w:rsidR="00000000" w:rsidDel="00000000" w:rsidP="00000000" w:rsidRDefault="00000000" w:rsidRPr="00000000" w14:paraId="000000E6">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-0.092</w:t>
            </w:r>
          </w:p>
        </w:tc>
        <w:tc>
          <w:tcPr>
            <w:shd w:fill="auto" w:val="clear"/>
            <w:vAlign w:val="center"/>
          </w:tcPr>
          <w:p w:rsidR="00000000" w:rsidDel="00000000" w:rsidP="00000000" w:rsidRDefault="00000000" w:rsidRPr="00000000" w14:paraId="000000E7">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2.384</w:t>
            </w:r>
          </w:p>
        </w:tc>
        <w:tc>
          <w:tcPr>
            <w:shd w:fill="auto" w:val="clear"/>
            <w:vAlign w:val="center"/>
          </w:tcPr>
          <w:p w:rsidR="00000000" w:rsidDel="00000000" w:rsidP="00000000" w:rsidRDefault="00000000" w:rsidRPr="00000000" w14:paraId="000000E8">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0.017</w:t>
            </w:r>
          </w:p>
        </w:tc>
        <w:tc>
          <w:tcPr>
            <w:shd w:fill="auto" w:val="clear"/>
            <w:vAlign w:val="center"/>
          </w:tcPr>
          <w:p w:rsidR="00000000" w:rsidDel="00000000" w:rsidP="00000000" w:rsidRDefault="00000000" w:rsidRPr="00000000" w14:paraId="000000E9">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Ditolak</w:t>
            </w:r>
          </w:p>
        </w:tc>
      </w:tr>
      <w:tr>
        <w:trPr>
          <w:cantSplit w:val="0"/>
          <w:trHeight w:val="300" w:hRule="atLeast"/>
          <w:tblHeader w:val="0"/>
        </w:trPr>
        <w:tc>
          <w:tcPr>
            <w:shd w:fill="auto" w:val="clear"/>
            <w:vAlign w:val="center"/>
          </w:tcPr>
          <w:p w:rsidR="00000000" w:rsidDel="00000000" w:rsidP="00000000" w:rsidRDefault="00000000" w:rsidRPr="00000000" w14:paraId="000000EA">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H3</w:t>
            </w:r>
          </w:p>
        </w:tc>
        <w:tc>
          <w:tcPr>
            <w:shd w:fill="auto" w:val="clear"/>
            <w:vAlign w:val="bottom"/>
          </w:tcPr>
          <w:p w:rsidR="00000000" w:rsidDel="00000000" w:rsidP="00000000" w:rsidRDefault="00000000" w:rsidRPr="00000000" w14:paraId="000000EB">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Perkhidmatan Kaunseling X Konflik Kerja Keluarga -&gt; Kesihatan Mental</w:t>
            </w:r>
          </w:p>
        </w:tc>
        <w:tc>
          <w:tcPr>
            <w:shd w:fill="auto" w:val="clear"/>
            <w:vAlign w:val="center"/>
          </w:tcPr>
          <w:p w:rsidR="00000000" w:rsidDel="00000000" w:rsidP="00000000" w:rsidRDefault="00000000" w:rsidRPr="00000000" w14:paraId="000000EC">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-0.251</w:t>
            </w:r>
          </w:p>
        </w:tc>
        <w:tc>
          <w:tcPr>
            <w:shd w:fill="auto" w:val="clear"/>
            <w:vAlign w:val="center"/>
          </w:tcPr>
          <w:p w:rsidR="00000000" w:rsidDel="00000000" w:rsidP="00000000" w:rsidRDefault="00000000" w:rsidRPr="00000000" w14:paraId="000000ED">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6.391</w:t>
            </w:r>
          </w:p>
        </w:tc>
        <w:tc>
          <w:tcPr>
            <w:shd w:fill="auto" w:val="clear"/>
            <w:vAlign w:val="center"/>
          </w:tcPr>
          <w:p w:rsidR="00000000" w:rsidDel="00000000" w:rsidP="00000000" w:rsidRDefault="00000000" w:rsidRPr="00000000" w14:paraId="000000EE">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0.000</w:t>
            </w:r>
          </w:p>
        </w:tc>
        <w:tc>
          <w:tcPr>
            <w:shd w:fill="auto" w:val="clear"/>
            <w:vAlign w:val="center"/>
          </w:tcPr>
          <w:p w:rsidR="00000000" w:rsidDel="00000000" w:rsidP="00000000" w:rsidRDefault="00000000" w:rsidRPr="00000000" w14:paraId="000000EF">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Ditolak</w:t>
            </w:r>
          </w:p>
        </w:tc>
      </w:tr>
    </w:tbl>
    <w:p w:rsidR="00000000" w:rsidDel="00000000" w:rsidP="00000000" w:rsidRDefault="00000000" w:rsidRPr="00000000" w14:paraId="000000F0">
      <w:pPr>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Nota</w:t>
      </w:r>
      <w:r w:rsidDel="00000000" w:rsidR="00000000" w:rsidRPr="00000000">
        <w:rPr>
          <w:rFonts w:ascii="Arial" w:cs="Arial" w:eastAsia="Arial" w:hAnsi="Arial"/>
          <w:sz w:val="24"/>
          <w:szCs w:val="24"/>
          <w:rtl w:val="0"/>
        </w:rPr>
        <w:t xml:space="preserve">: Keputusan analisis hubungan langsung pembolehubah</w:t>
      </w:r>
    </w:p>
    <w:p w:rsidR="00000000" w:rsidDel="00000000" w:rsidP="00000000" w:rsidRDefault="00000000" w:rsidRPr="00000000" w14:paraId="000000F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Dalam kajian ini, hipotesis null diuji untuk menilai sama ada terdapat hubungan signifikan antara Konflik Kerja Keluarga, Perkhidmatan Kaunseling, dan Kesihatan Mental. Berikut adalah analisis bagi setiap hipotesis null yang diuji, disokong oleh literatur terdahulu:</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₀</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Tiada hubungan antara Konflik Kerja Keluarga dan Kesihatan Mental dalam kalangan wanita profesional.</w:t>
        <w:br w:type="textWrapping"/>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Hipotesis null pertama mengandaikan bahawa Konflik Kerja Keluarga tidak mempunyai hubungan signifikan dengan Kesihatan Mental. Walau bagaimanapun, analisis menunjukkan bahawa hipotesis null ini ditolak. Nilai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Original Sample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 sebanyak 0.522,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T-statistics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16.097, dan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P-value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0.000 menunjukkan hubungan signifikan, di mana Konflik Kerja Keluarga memberi kesan negatif terhadap Kesihatan Mental. Kajian terdahulu oleh Greenhaus dan Beutell (1985) serta Allen et al. (2000) menyokong dapatan ini, di mana konflik kerja-keluarga didapati menyebabkan tekanan emosi, kebimbangan, dan kemurungan. Di Malaysia, kajian oleh Noor dan Mahudin (2016) turut menunjukkan bahawa wanita profesional yang mengalami konflik kerja-keluarga lebih berisiko menghadapi masalah kesihatan mental. Oleh itu, hipotesis null ini ditolak.</w:t>
      </w:r>
    </w:p>
    <w:p w:rsidR="00000000" w:rsidDel="00000000" w:rsidP="00000000" w:rsidRDefault="00000000" w:rsidRPr="00000000" w14:paraId="000000F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₀</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Tiada hubungan antara Perkhidmatan Kaunseling dan Kesihatan Mental dalam kalangan wanita profesional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Hipotesis null kedua menyatakan bahawa Perkhidmatan Kaunseling tidak mempunyai kesan signifikan terhadap Kesihatan Mental. Namun, keputusan analisis menunjukkan bahawa hipotesis null ini ditolak. Nilai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Original Sample (O)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sebanyak -0.092, dengan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T-statistics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2.384 dan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P-value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0.017, menunjukkan bahawa kaunseling mempunyai kesan signifikan dalam mengurangkan kesan negatif terhadap kesihatan mental. Kajian oleh Brough dan O'Driscoll (2010) dan Hammer et al. (2015) menyokong dapatan ini, di mana kaunseling membantu individu menangani tekanan yang disebabkan oleh konflik kerja-keluarga, seterusnya meningkatkan kesejahteraan mental. Oleh itu, hipotesis null ini ditolak.</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₀</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Perkhidmatan Kaunseling tidak memoderasi dalam hubungan antara Konflik Kerja Keluarga dan Kesihatan Mental</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br w:type="textWrapping"/>
        <w:t xml:space="preserve">Hipotesis null ketiga menyatakan bahawa Perkhidmatan Kaunseling tidak memoderasi hubungan antara Konflik Kerja Keluarga dan Kesihatan Mental. Walau bagaimanapun, analisis menunjukkan bahawa hipotesis null ini juga ditolak. Nilai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Original Sample (O)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sebanyak -0.251,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T-statistics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6.391, dan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P-value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0.000 menunjukkan bahawa kaunseling bertindak sebagai moderator yang signifikan dalam mengurangkan kesan negatif konflik kerja-keluarga terhadap kesihatan mental. Dapatan ini disokong oleh kajian Frone (2003) dan Byron (2005), yang menunjukkan bahawa kaunseling berperanan penting dalam membantu individu mengenal pasti punca konflik dan membangunkan strategi coping yang lebih berkesan. Kajian oleh Yusoff et al. (2018) di Malaysia juga menyokong peranan kaunseling dalam mengurangkan tekanan akibat konflik kerja-keluarga, khususnya dalam kalangan wanita profesional.  Oleh itu, hipotesis null ini ditolak.</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Secara keseluruhannya, semua hipotesis null dalam kajian ini ditolak. Hasil analisis menunjukkan bahawa Konflik Kerja Keluarga mempunyai hubungan signifikan dengan Kesihatan Mental, manakala Perkhidmatan Kaunseling bukan sahaja membantu mengurangkan kesan negatif, tetapi juga bertindak sebagai moderator dalam hubungan tersebut. Kajian terdahulu menyokong dapatan ini, mengesahkan kepentingan kaunseling dalam menangani tekanan emosi yang berpunca daripada konflik antara kerja dan keluarga dalam kalangan wanita profesional.</w:t>
      </w:r>
    </w:p>
    <w:p w:rsidR="00000000" w:rsidDel="00000000" w:rsidP="00000000" w:rsidRDefault="00000000" w:rsidRPr="00000000" w14:paraId="000000F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E">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Analisis Menilai Kesesuaian Model</w:t>
      </w:r>
    </w:p>
    <w:p w:rsidR="00000000" w:rsidDel="00000000" w:rsidP="00000000" w:rsidRDefault="00000000" w:rsidRPr="00000000" w14:paraId="000000F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Analisis statistik yang menyeluruh diperlukan untuk menilai kesesuaian model kajian dalam memahami hubungan antara konflik kerja-keluarga, perkhidmatan kaunseling, dan kesihatan mental. Melalui penggunaan pendekatan </w:t>
      </w:r>
      <w:r w:rsidDel="00000000" w:rsidR="00000000" w:rsidRPr="00000000">
        <w:rPr>
          <w:rFonts w:ascii="Arial" w:cs="Arial" w:eastAsia="Arial" w:hAnsi="Arial"/>
          <w:i w:val="1"/>
          <w:sz w:val="24"/>
          <w:szCs w:val="24"/>
          <w:rtl w:val="0"/>
        </w:rPr>
        <w:t xml:space="preserve">Partial Least Squares Structural Equation Modelling (PLS-SEM)</w:t>
      </w:r>
      <w:r w:rsidDel="00000000" w:rsidR="00000000" w:rsidRPr="00000000">
        <w:rPr>
          <w:rFonts w:ascii="Arial" w:cs="Arial" w:eastAsia="Arial" w:hAnsi="Arial"/>
          <w:sz w:val="24"/>
          <w:szCs w:val="24"/>
          <w:rtl w:val="0"/>
        </w:rPr>
        <w:t xml:space="preserve">, beberapa ukuran seperti </w:t>
      </w:r>
      <w:r w:rsidDel="00000000" w:rsidR="00000000" w:rsidRPr="00000000">
        <w:rPr>
          <w:rFonts w:ascii="Arial" w:cs="Arial" w:eastAsia="Arial" w:hAnsi="Arial"/>
          <w:i w:val="1"/>
          <w:sz w:val="24"/>
          <w:szCs w:val="24"/>
          <w:rtl w:val="0"/>
        </w:rPr>
        <w:t xml:space="preserve">F-square,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Q-square,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SRMR,</w:t>
      </w:r>
      <w:r w:rsidDel="00000000" w:rsidR="00000000" w:rsidRPr="00000000">
        <w:rPr>
          <w:rFonts w:ascii="Arial" w:cs="Arial" w:eastAsia="Arial" w:hAnsi="Arial"/>
          <w:sz w:val="24"/>
          <w:szCs w:val="24"/>
          <w:rtl w:val="0"/>
        </w:rPr>
        <w:t xml:space="preserve"> dan </w:t>
      </w:r>
      <w:r w:rsidDel="00000000" w:rsidR="00000000" w:rsidRPr="00000000">
        <w:rPr>
          <w:rFonts w:ascii="Arial" w:cs="Arial" w:eastAsia="Arial" w:hAnsi="Arial"/>
          <w:i w:val="1"/>
          <w:sz w:val="24"/>
          <w:szCs w:val="24"/>
          <w:rtl w:val="0"/>
        </w:rPr>
        <w:t xml:space="preserve">PLS Predict</w:t>
      </w:r>
      <w:r w:rsidDel="00000000" w:rsidR="00000000" w:rsidRPr="00000000">
        <w:rPr>
          <w:rFonts w:ascii="Arial" w:cs="Arial" w:eastAsia="Arial" w:hAnsi="Arial"/>
          <w:sz w:val="24"/>
          <w:szCs w:val="24"/>
          <w:rtl w:val="0"/>
        </w:rPr>
        <w:t xml:space="preserve"> dapat memberikan gambaran lebih jelas tentang kesan relatif pemboleh ubah terhadap kesihatan mental, serta ketepatan prediksi model yang digunakan. Dalam kajian ini, fokus utama adalah untuk menilai sejauh mana konflik kerja-keluarga mempengaruhi kesihatan mental dan bagaimana kaunseling memainkan peranan sebagai moderator dalam hubungan tersebut. Analisis ini bertujuan untuk mengesahkan kesesuaian dan daya prediksi model yang dikaji, seterusnya memberikan bukti empirikal yang boleh digunakan untuk memperkukuhkan intervensi kaunseling sebagai alat sokongan psikologi dalam kalangan wanita profesional.</w:t>
      </w:r>
    </w:p>
    <w:p w:rsidR="00000000" w:rsidDel="00000000" w:rsidP="00000000" w:rsidRDefault="00000000" w:rsidRPr="00000000" w14:paraId="00000100">
      <w:pPr>
        <w:spacing w:after="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01">
      <w:pP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Analisis </w:t>
      </w:r>
      <w:r w:rsidDel="00000000" w:rsidR="00000000" w:rsidRPr="00000000">
        <w:rPr>
          <w:rFonts w:ascii="Arial" w:cs="Arial" w:eastAsia="Arial" w:hAnsi="Arial"/>
          <w:b w:val="1"/>
          <w:i w:val="1"/>
          <w:sz w:val="24"/>
          <w:szCs w:val="24"/>
          <w:rtl w:val="0"/>
        </w:rPr>
        <w:t xml:space="preserve">F Square</w:t>
      </w:r>
      <w:r w:rsidDel="00000000" w:rsidR="00000000" w:rsidRPr="00000000">
        <w:rPr>
          <w:rtl w:val="0"/>
        </w:rPr>
      </w:r>
    </w:p>
    <w:p w:rsidR="00000000" w:rsidDel="00000000" w:rsidP="00000000" w:rsidRDefault="00000000" w:rsidRPr="00000000" w14:paraId="0000010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Berdasarkan Analisis </w:t>
      </w:r>
      <w:r w:rsidDel="00000000" w:rsidR="00000000" w:rsidRPr="00000000">
        <w:rPr>
          <w:rFonts w:ascii="Arial" w:cs="Arial" w:eastAsia="Arial" w:hAnsi="Arial"/>
          <w:i w:val="1"/>
          <w:sz w:val="24"/>
          <w:szCs w:val="24"/>
          <w:rtl w:val="0"/>
        </w:rPr>
        <w:t xml:space="preserve">F-square</w:t>
      </w:r>
      <w:r w:rsidDel="00000000" w:rsidR="00000000" w:rsidRPr="00000000">
        <w:rPr>
          <w:rFonts w:ascii="Arial" w:cs="Arial" w:eastAsia="Arial" w:hAnsi="Arial"/>
          <w:sz w:val="24"/>
          <w:szCs w:val="24"/>
          <w:rtl w:val="0"/>
        </w:rPr>
        <w:t xml:space="preserve">, nilai </w:t>
      </w:r>
      <w:r w:rsidDel="00000000" w:rsidR="00000000" w:rsidRPr="00000000">
        <w:rPr>
          <w:rFonts w:ascii="Arial" w:cs="Arial" w:eastAsia="Arial" w:hAnsi="Arial"/>
          <w:i w:val="1"/>
          <w:sz w:val="24"/>
          <w:szCs w:val="24"/>
          <w:rtl w:val="0"/>
        </w:rPr>
        <w:t xml:space="preserve">F-square</w:t>
      </w:r>
      <w:r w:rsidDel="00000000" w:rsidR="00000000" w:rsidRPr="00000000">
        <w:rPr>
          <w:rFonts w:ascii="Arial" w:cs="Arial" w:eastAsia="Arial" w:hAnsi="Arial"/>
          <w:sz w:val="24"/>
          <w:szCs w:val="24"/>
          <w:rtl w:val="0"/>
        </w:rPr>
        <w:t xml:space="preserve"> mengukur kesan relatif suatu pemboleh ubah terhadap pemboleh ubah endogen. Nilai F</w:t>
      </w:r>
      <w:r w:rsidDel="00000000" w:rsidR="00000000" w:rsidRPr="00000000">
        <w:rPr>
          <w:rFonts w:ascii="Arial" w:cs="Arial" w:eastAsia="Arial" w:hAnsi="Arial"/>
          <w:i w:val="1"/>
          <w:sz w:val="24"/>
          <w:szCs w:val="24"/>
          <w:rtl w:val="0"/>
        </w:rPr>
        <w:t xml:space="preserve">-square</w:t>
      </w:r>
      <w:r w:rsidDel="00000000" w:rsidR="00000000" w:rsidRPr="00000000">
        <w:rPr>
          <w:rFonts w:ascii="Arial" w:cs="Arial" w:eastAsia="Arial" w:hAnsi="Arial"/>
          <w:sz w:val="24"/>
          <w:szCs w:val="24"/>
          <w:rtl w:val="0"/>
        </w:rPr>
        <w:t xml:space="preserve"> untuk hubungan antara Konflik Kerja Keluarga dan Kesihatan Mental adalah 0.504, yang menunjukkan kesan yang besar dan signifikan. Menurut Cohen (1988), nilai </w:t>
      </w:r>
      <w:r w:rsidDel="00000000" w:rsidR="00000000" w:rsidRPr="00000000">
        <w:rPr>
          <w:rFonts w:ascii="Arial" w:cs="Arial" w:eastAsia="Arial" w:hAnsi="Arial"/>
          <w:i w:val="1"/>
          <w:sz w:val="24"/>
          <w:szCs w:val="24"/>
          <w:rtl w:val="0"/>
        </w:rPr>
        <w:t xml:space="preserve">F-square </w:t>
      </w:r>
      <w:r w:rsidDel="00000000" w:rsidR="00000000" w:rsidRPr="00000000">
        <w:rPr>
          <w:rFonts w:ascii="Arial" w:cs="Arial" w:eastAsia="Arial" w:hAnsi="Arial"/>
          <w:sz w:val="24"/>
          <w:szCs w:val="24"/>
          <w:rtl w:val="0"/>
        </w:rPr>
        <w:t xml:space="preserve">di atas 0.35 dianggap sebagai kesan besar, yang menunjukkan bahawa Konflik Kerja Keluarga mempunyai pengaruh yang kuat terhadap Kesihatan Mental.</w:t>
      </w:r>
    </w:p>
    <w:p w:rsidR="00000000" w:rsidDel="00000000" w:rsidP="00000000" w:rsidRDefault="00000000" w:rsidRPr="00000000" w14:paraId="00000104">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Sebaliknya, nilai </w:t>
      </w:r>
      <w:r w:rsidDel="00000000" w:rsidR="00000000" w:rsidRPr="00000000">
        <w:rPr>
          <w:rFonts w:ascii="Arial" w:cs="Arial" w:eastAsia="Arial" w:hAnsi="Arial"/>
          <w:i w:val="1"/>
          <w:sz w:val="24"/>
          <w:szCs w:val="24"/>
          <w:rtl w:val="0"/>
        </w:rPr>
        <w:t xml:space="preserve">F-square</w:t>
      </w:r>
      <w:r w:rsidDel="00000000" w:rsidR="00000000" w:rsidRPr="00000000">
        <w:rPr>
          <w:rFonts w:ascii="Arial" w:cs="Arial" w:eastAsia="Arial" w:hAnsi="Arial"/>
          <w:sz w:val="24"/>
          <w:szCs w:val="24"/>
          <w:rtl w:val="0"/>
        </w:rPr>
        <w:t xml:space="preserve"> untuk interaksi antara Perkhidmatan Kaunseling dan Konflik Kerja Keluarga terhadap Kesihatan Mental adalah 0.105, yang menunjukkan kesan sederhana. Menurut Cohen (1988), nilai </w:t>
      </w:r>
      <w:r w:rsidDel="00000000" w:rsidR="00000000" w:rsidRPr="00000000">
        <w:rPr>
          <w:rFonts w:ascii="Arial" w:cs="Arial" w:eastAsia="Arial" w:hAnsi="Arial"/>
          <w:i w:val="1"/>
          <w:sz w:val="24"/>
          <w:szCs w:val="24"/>
          <w:rtl w:val="0"/>
        </w:rPr>
        <w:t xml:space="preserve">F-square</w:t>
      </w:r>
      <w:r w:rsidDel="00000000" w:rsidR="00000000" w:rsidRPr="00000000">
        <w:rPr>
          <w:rFonts w:ascii="Arial" w:cs="Arial" w:eastAsia="Arial" w:hAnsi="Arial"/>
          <w:sz w:val="24"/>
          <w:szCs w:val="24"/>
          <w:rtl w:val="0"/>
        </w:rPr>
        <w:t xml:space="preserve"> antara 0.02 hingga 0.15 dianggap sebagai kesan kecil hingga sederhana, menunjukkan bahawa Perkhidmatan Kaunseling berperanan sebagai moderator dalam mengurangkan kesan negatif konflik kerja-keluarga terhadap kesihatan mental, tetapi dengan kesan yang sederhana.</w:t>
      </w:r>
    </w:p>
    <w:p w:rsidR="00000000" w:rsidDel="00000000" w:rsidP="00000000" w:rsidRDefault="00000000" w:rsidRPr="00000000" w14:paraId="00000105">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Analisis </w:t>
      </w:r>
      <w:r w:rsidDel="00000000" w:rsidR="00000000" w:rsidRPr="00000000">
        <w:rPr>
          <w:rFonts w:ascii="Arial" w:cs="Arial" w:eastAsia="Arial" w:hAnsi="Arial"/>
          <w:b w:val="1"/>
          <w:i w:val="1"/>
          <w:sz w:val="24"/>
          <w:szCs w:val="24"/>
          <w:rtl w:val="0"/>
        </w:rPr>
        <w:t xml:space="preserve">Q -Square</w:t>
      </w:r>
      <w:r w:rsidDel="00000000" w:rsidR="00000000" w:rsidRPr="00000000">
        <w:rPr>
          <w:rtl w:val="0"/>
        </w:rPr>
      </w:r>
    </w:p>
    <w:p w:rsidR="00000000" w:rsidDel="00000000" w:rsidP="00000000" w:rsidRDefault="00000000" w:rsidRPr="00000000" w14:paraId="0000010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Analisis </w:t>
      </w:r>
      <w:r w:rsidDel="00000000" w:rsidR="00000000" w:rsidRPr="00000000">
        <w:rPr>
          <w:rFonts w:ascii="Arial" w:cs="Arial" w:eastAsia="Arial" w:hAnsi="Arial"/>
          <w:i w:val="1"/>
          <w:sz w:val="24"/>
          <w:szCs w:val="24"/>
          <w:rtl w:val="0"/>
        </w:rPr>
        <w:t xml:space="preserve">Q-square </w:t>
      </w:r>
      <w:r w:rsidDel="00000000" w:rsidR="00000000" w:rsidRPr="00000000">
        <w:rPr>
          <w:rFonts w:ascii="Arial" w:cs="Arial" w:eastAsia="Arial" w:hAnsi="Arial"/>
          <w:sz w:val="24"/>
          <w:szCs w:val="24"/>
          <w:rtl w:val="0"/>
        </w:rPr>
        <w:t xml:space="preserve">menggambarkan ketepatan prediksi dalam model PLS, iaitu sejauh mana perubahan dalam pemboleh ubah eksogen/endogen dapat memprediksi pemboleh ubah endogen seperti Kesihatan Mental. Menurut Hair et al. (2017), nilai </w:t>
      </w:r>
      <w:r w:rsidDel="00000000" w:rsidR="00000000" w:rsidRPr="00000000">
        <w:rPr>
          <w:rFonts w:ascii="Arial" w:cs="Arial" w:eastAsia="Arial" w:hAnsi="Arial"/>
          <w:i w:val="1"/>
          <w:sz w:val="24"/>
          <w:szCs w:val="24"/>
          <w:rtl w:val="0"/>
        </w:rPr>
        <w:t xml:space="preserve">Q-square</w:t>
      </w:r>
      <w:r w:rsidDel="00000000" w:rsidR="00000000" w:rsidRPr="00000000">
        <w:rPr>
          <w:rFonts w:ascii="Arial" w:cs="Arial" w:eastAsia="Arial" w:hAnsi="Arial"/>
          <w:sz w:val="24"/>
          <w:szCs w:val="24"/>
          <w:rtl w:val="0"/>
        </w:rPr>
        <w:t xml:space="preserve"> &gt; 0 menunjukkan model mempunyai </w:t>
      </w:r>
      <w:r w:rsidDel="00000000" w:rsidR="00000000" w:rsidRPr="00000000">
        <w:rPr>
          <w:rFonts w:ascii="Arial" w:cs="Arial" w:eastAsia="Arial" w:hAnsi="Arial"/>
          <w:i w:val="1"/>
          <w:sz w:val="24"/>
          <w:szCs w:val="24"/>
          <w:rtl w:val="0"/>
        </w:rPr>
        <w:t xml:space="preserve">predictive relevance</w:t>
      </w:r>
      <w:r w:rsidDel="00000000" w:rsidR="00000000" w:rsidRPr="00000000">
        <w:rPr>
          <w:rFonts w:ascii="Arial" w:cs="Arial" w:eastAsia="Arial" w:hAnsi="Arial"/>
          <w:sz w:val="24"/>
          <w:szCs w:val="24"/>
          <w:rtl w:val="0"/>
        </w:rPr>
        <w:t xml:space="preserve"> yang diterima, dengan </w:t>
      </w:r>
      <w:r w:rsidDel="00000000" w:rsidR="00000000" w:rsidRPr="00000000">
        <w:rPr>
          <w:rFonts w:ascii="Arial" w:cs="Arial" w:eastAsia="Arial" w:hAnsi="Arial"/>
          <w:i w:val="1"/>
          <w:sz w:val="24"/>
          <w:szCs w:val="24"/>
          <w:rtl w:val="0"/>
        </w:rPr>
        <w:t xml:space="preserve">Q-square &gt;</w:t>
      </w:r>
      <w:r w:rsidDel="00000000" w:rsidR="00000000" w:rsidRPr="00000000">
        <w:rPr>
          <w:rFonts w:ascii="Arial" w:cs="Arial" w:eastAsia="Arial" w:hAnsi="Arial"/>
          <w:sz w:val="24"/>
          <w:szCs w:val="24"/>
          <w:rtl w:val="0"/>
        </w:rPr>
        <w:t xml:space="preserve"> 0.25 dianggap ketepatan sederhana dan </w:t>
      </w:r>
      <w:r w:rsidDel="00000000" w:rsidR="00000000" w:rsidRPr="00000000">
        <w:rPr>
          <w:rFonts w:ascii="Arial" w:cs="Arial" w:eastAsia="Arial" w:hAnsi="Arial"/>
          <w:i w:val="1"/>
          <w:sz w:val="24"/>
          <w:szCs w:val="24"/>
          <w:rtl w:val="0"/>
        </w:rPr>
        <w:t xml:space="preserve">Q-square</w:t>
      </w:r>
      <w:r w:rsidDel="00000000" w:rsidR="00000000" w:rsidRPr="00000000">
        <w:rPr>
          <w:rFonts w:ascii="Arial" w:cs="Arial" w:eastAsia="Arial" w:hAnsi="Arial"/>
          <w:sz w:val="24"/>
          <w:szCs w:val="24"/>
          <w:rtl w:val="0"/>
        </w:rPr>
        <w:t xml:space="preserve"> &gt; 0.50 dianggap tinggi. Dalam kajian ini, nilai </w:t>
      </w:r>
      <w:r w:rsidDel="00000000" w:rsidR="00000000" w:rsidRPr="00000000">
        <w:rPr>
          <w:rFonts w:ascii="Arial" w:cs="Arial" w:eastAsia="Arial" w:hAnsi="Arial"/>
          <w:i w:val="1"/>
          <w:sz w:val="24"/>
          <w:szCs w:val="24"/>
          <w:rtl w:val="0"/>
        </w:rPr>
        <w:t xml:space="preserve">Q-square Predict</w:t>
      </w:r>
      <w:r w:rsidDel="00000000" w:rsidR="00000000" w:rsidRPr="00000000">
        <w:rPr>
          <w:rFonts w:ascii="Arial" w:cs="Arial" w:eastAsia="Arial" w:hAnsi="Arial"/>
          <w:sz w:val="24"/>
          <w:szCs w:val="24"/>
          <w:rtl w:val="0"/>
        </w:rPr>
        <w:t xml:space="preserve"> adalah 0.482, menunjukkan model ini mempunyai ketepatan prediksi sederhana.</w:t>
      </w:r>
    </w:p>
    <w:p w:rsidR="00000000" w:rsidDel="00000000" w:rsidP="00000000" w:rsidRDefault="00000000" w:rsidRPr="00000000" w14:paraId="00000107">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Analisis SRMR</w:t>
      </w:r>
    </w:p>
    <w:p w:rsidR="00000000" w:rsidDel="00000000" w:rsidP="00000000" w:rsidRDefault="00000000" w:rsidRPr="00000000" w14:paraId="0000010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Analisis SRMR (</w:t>
      </w:r>
      <w:r w:rsidDel="00000000" w:rsidR="00000000" w:rsidRPr="00000000">
        <w:rPr>
          <w:rFonts w:ascii="Arial" w:cs="Arial" w:eastAsia="Arial" w:hAnsi="Arial"/>
          <w:i w:val="1"/>
          <w:sz w:val="24"/>
          <w:szCs w:val="24"/>
          <w:rtl w:val="0"/>
        </w:rPr>
        <w:t xml:space="preserve">Standardized Root Mean Square Residual)</w:t>
      </w:r>
      <w:r w:rsidDel="00000000" w:rsidR="00000000" w:rsidRPr="00000000">
        <w:rPr>
          <w:rFonts w:ascii="Arial" w:cs="Arial" w:eastAsia="Arial" w:hAnsi="Arial"/>
          <w:sz w:val="24"/>
          <w:szCs w:val="24"/>
          <w:rtl w:val="0"/>
        </w:rPr>
        <w:t xml:space="preserve"> adalah salah satu ukuran </w:t>
      </w:r>
      <w:r w:rsidDel="00000000" w:rsidR="00000000" w:rsidRPr="00000000">
        <w:rPr>
          <w:rFonts w:ascii="Arial" w:cs="Arial" w:eastAsia="Arial" w:hAnsi="Arial"/>
          <w:i w:val="1"/>
          <w:sz w:val="24"/>
          <w:szCs w:val="24"/>
          <w:rtl w:val="0"/>
        </w:rPr>
        <w:t xml:space="preserve">goodness of fit</w:t>
      </w:r>
      <w:r w:rsidDel="00000000" w:rsidR="00000000" w:rsidRPr="00000000">
        <w:rPr>
          <w:rFonts w:ascii="Arial" w:cs="Arial" w:eastAsia="Arial" w:hAnsi="Arial"/>
          <w:sz w:val="24"/>
          <w:szCs w:val="24"/>
          <w:rtl w:val="0"/>
        </w:rPr>
        <w:t xml:space="preserve"> dalam model PLS-SEM yang membandingkan matriks korelasi model dengan matriks korelasi data sebenar. Nilai SRMR yang disyorkan adalah &lt; 0.08 untuk menunjukkan model sesuai (Hair et al., 2022). Dalam kajian ini, nilai SRMR adalah 0.074, yang lebih rendah daripada 0.08, menandakan model PLS mempunyai kesesuaian yang baik dan boleh diterima.</w:t>
      </w:r>
    </w:p>
    <w:p w:rsidR="00000000" w:rsidDel="00000000" w:rsidP="00000000" w:rsidRDefault="00000000" w:rsidRPr="00000000" w14:paraId="00000109">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Analisis PLS </w:t>
      </w:r>
      <w:r w:rsidDel="00000000" w:rsidR="00000000" w:rsidRPr="00000000">
        <w:rPr>
          <w:rFonts w:ascii="Arial" w:cs="Arial" w:eastAsia="Arial" w:hAnsi="Arial"/>
          <w:b w:val="1"/>
          <w:i w:val="1"/>
          <w:sz w:val="24"/>
          <w:szCs w:val="24"/>
          <w:rtl w:val="0"/>
        </w:rPr>
        <w:t xml:space="preserve">Predict</w:t>
      </w:r>
      <w:r w:rsidDel="00000000" w:rsidR="00000000" w:rsidRPr="00000000">
        <w:rPr>
          <w:rtl w:val="0"/>
        </w:rPr>
      </w:r>
    </w:p>
    <w:p w:rsidR="00000000" w:rsidDel="00000000" w:rsidP="00000000" w:rsidRDefault="00000000" w:rsidRPr="00000000" w14:paraId="0000010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PLS </w:t>
      </w:r>
      <w:r w:rsidDel="00000000" w:rsidR="00000000" w:rsidRPr="00000000">
        <w:rPr>
          <w:rFonts w:ascii="Arial" w:cs="Arial" w:eastAsia="Arial" w:hAnsi="Arial"/>
          <w:i w:val="1"/>
          <w:sz w:val="24"/>
          <w:szCs w:val="24"/>
          <w:rtl w:val="0"/>
        </w:rPr>
        <w:t xml:space="preserve">Predict</w:t>
      </w:r>
      <w:r w:rsidDel="00000000" w:rsidR="00000000" w:rsidRPr="00000000">
        <w:rPr>
          <w:rFonts w:ascii="Arial" w:cs="Arial" w:eastAsia="Arial" w:hAnsi="Arial"/>
          <w:sz w:val="24"/>
          <w:szCs w:val="24"/>
          <w:rtl w:val="0"/>
        </w:rPr>
        <w:t xml:space="preserve"> adalah ukuran yang digunakan untuk menilai kekuatan prediksi model PLS, seperti yang dikembangkan oleh Shmueli et al. (2016). Untuk menentukan kekuatan prediksi model PLS, ia dibandingkan dengan model regresi linear (LM) (Hair et al., 2019). Model PLS dikatakan mempunyai prediksi yang kuat apabila nilai </w:t>
      </w:r>
      <w:r w:rsidDel="00000000" w:rsidR="00000000" w:rsidRPr="00000000">
        <w:rPr>
          <w:rFonts w:ascii="Arial" w:cs="Arial" w:eastAsia="Arial" w:hAnsi="Arial"/>
          <w:i w:val="1"/>
          <w:sz w:val="24"/>
          <w:szCs w:val="24"/>
          <w:rtl w:val="0"/>
        </w:rPr>
        <w:t xml:space="preserve">RMSE (Root Mean Squared Error)</w:t>
      </w:r>
      <w:r w:rsidDel="00000000" w:rsidR="00000000" w:rsidRPr="00000000">
        <w:rPr>
          <w:rFonts w:ascii="Arial" w:cs="Arial" w:eastAsia="Arial" w:hAnsi="Arial"/>
          <w:sz w:val="24"/>
          <w:szCs w:val="24"/>
          <w:rtl w:val="0"/>
        </w:rPr>
        <w:t xml:space="preserve"> atau </w:t>
      </w:r>
      <w:r w:rsidDel="00000000" w:rsidR="00000000" w:rsidRPr="00000000">
        <w:rPr>
          <w:rFonts w:ascii="Arial" w:cs="Arial" w:eastAsia="Arial" w:hAnsi="Arial"/>
          <w:i w:val="1"/>
          <w:sz w:val="24"/>
          <w:szCs w:val="24"/>
          <w:rtl w:val="0"/>
        </w:rPr>
        <w:t xml:space="preserve">MAE (Mean Absolute Error)</w:t>
      </w:r>
      <w:r w:rsidDel="00000000" w:rsidR="00000000" w:rsidRPr="00000000">
        <w:rPr>
          <w:rFonts w:ascii="Arial" w:cs="Arial" w:eastAsia="Arial" w:hAnsi="Arial"/>
          <w:sz w:val="24"/>
          <w:szCs w:val="24"/>
          <w:rtl w:val="0"/>
        </w:rPr>
        <w:t xml:space="preserve"> lebih rendah berbanding model LM. Hasil kajian menunjukkan bahawa untuk semua item Kesihatan Mental (KM1 hingga KM12), model PLS mempunyai RMSE dan MAE yang lebih rendah berbanding model LM, dengan perbezaan negatif antara keduanya. Ini membuktikan bahawa model PLS dalam kajian ini mempunyai daya prediksi yang tinggi dan validasi prediksi yang baik.</w:t>
      </w:r>
    </w:p>
    <w:p w:rsidR="00000000" w:rsidDel="00000000" w:rsidP="00000000" w:rsidRDefault="00000000" w:rsidRPr="00000000" w14:paraId="0000010B">
      <w:pPr>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Analisis CVPAT (</w:t>
      </w:r>
      <w:r w:rsidDel="00000000" w:rsidR="00000000" w:rsidRPr="00000000">
        <w:rPr>
          <w:rFonts w:ascii="Arial" w:cs="Arial" w:eastAsia="Arial" w:hAnsi="Arial"/>
          <w:b w:val="1"/>
          <w:i w:val="1"/>
          <w:sz w:val="24"/>
          <w:szCs w:val="24"/>
          <w:rtl w:val="0"/>
        </w:rPr>
        <w:t xml:space="preserve">Cross-Validated Predictive Ability Test</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0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Analisis CVPAT digunakan untuk menilai daya prediksi model PLS, memastikan model PLS yang diajukan mempunyai daya prediksi yang diterima (Liengaard et al., 2021). Hasil perbandingan antara model PLS dengan </w:t>
      </w:r>
      <w:r w:rsidDel="00000000" w:rsidR="00000000" w:rsidRPr="00000000">
        <w:rPr>
          <w:rFonts w:ascii="Arial" w:cs="Arial" w:eastAsia="Arial" w:hAnsi="Arial"/>
          <w:i w:val="1"/>
          <w:sz w:val="24"/>
          <w:szCs w:val="24"/>
          <w:rtl w:val="0"/>
        </w:rPr>
        <w:t xml:space="preserve">average indicator</w:t>
      </w:r>
      <w:r w:rsidDel="00000000" w:rsidR="00000000" w:rsidRPr="00000000">
        <w:rPr>
          <w:rFonts w:ascii="Arial" w:cs="Arial" w:eastAsia="Arial" w:hAnsi="Arial"/>
          <w:sz w:val="24"/>
          <w:szCs w:val="24"/>
          <w:rtl w:val="0"/>
        </w:rPr>
        <w:t xml:space="preserve"> menunjukkan </w:t>
      </w:r>
      <w:r w:rsidDel="00000000" w:rsidR="00000000" w:rsidRPr="00000000">
        <w:rPr>
          <w:rFonts w:ascii="Arial" w:cs="Arial" w:eastAsia="Arial" w:hAnsi="Arial"/>
          <w:i w:val="1"/>
          <w:sz w:val="24"/>
          <w:szCs w:val="24"/>
          <w:rtl w:val="0"/>
        </w:rPr>
        <w:t xml:space="preserve">average loss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differenc</w:t>
      </w:r>
      <w:r w:rsidDel="00000000" w:rsidR="00000000" w:rsidRPr="00000000">
        <w:rPr>
          <w:rFonts w:ascii="Arial" w:cs="Arial" w:eastAsia="Arial" w:hAnsi="Arial"/>
          <w:sz w:val="24"/>
          <w:szCs w:val="24"/>
          <w:rtl w:val="0"/>
        </w:rPr>
        <w:t xml:space="preserve">e negatif (-0.562) dengan p-value 0.000, menunjukkan kesalahan prediksi model PLS lebih rendah. Selain itu, perbandingan antara model PLS dan linear model (LM) juga menunjukkan </w:t>
      </w:r>
      <w:r w:rsidDel="00000000" w:rsidR="00000000" w:rsidRPr="00000000">
        <w:rPr>
          <w:rFonts w:ascii="Arial" w:cs="Arial" w:eastAsia="Arial" w:hAnsi="Arial"/>
          <w:i w:val="1"/>
          <w:sz w:val="24"/>
          <w:szCs w:val="24"/>
          <w:rtl w:val="0"/>
        </w:rPr>
        <w:t xml:space="preserve">average loss difference</w:t>
      </w:r>
      <w:r w:rsidDel="00000000" w:rsidR="00000000" w:rsidRPr="00000000">
        <w:rPr>
          <w:rFonts w:ascii="Arial" w:cs="Arial" w:eastAsia="Arial" w:hAnsi="Arial"/>
          <w:sz w:val="24"/>
          <w:szCs w:val="24"/>
          <w:rtl w:val="0"/>
        </w:rPr>
        <w:t xml:space="preserve"> negatif (-0.114) dengan p-value 0.000, mengesahkan kesalahan prediksi model PLS lebih rendah daripada LM. Kesimpulannya, model PLS mempunyai daya prediksi yang lebih tinggi berbanding kedua-dua model pembanding, memenuhi syarat validasi prediksi yang tinggi.</w:t>
      </w:r>
    </w:p>
    <w:p w:rsidR="00000000" w:rsidDel="00000000" w:rsidP="00000000" w:rsidRDefault="00000000" w:rsidRPr="00000000" w14:paraId="0000010D">
      <w:pPr>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Secara keseluruhannya, hasil </w:t>
      </w:r>
      <w:r w:rsidDel="00000000" w:rsidR="00000000" w:rsidRPr="00000000">
        <w:rPr>
          <w:rFonts w:ascii="Arial" w:cs="Arial" w:eastAsia="Arial" w:hAnsi="Arial"/>
          <w:i w:val="1"/>
          <w:sz w:val="24"/>
          <w:szCs w:val="24"/>
          <w:rtl w:val="0"/>
        </w:rPr>
        <w:t xml:space="preserve">F-square</w:t>
      </w:r>
      <w:r w:rsidDel="00000000" w:rsidR="00000000" w:rsidRPr="00000000">
        <w:rPr>
          <w:rFonts w:ascii="Arial" w:cs="Arial" w:eastAsia="Arial" w:hAnsi="Arial"/>
          <w:sz w:val="24"/>
          <w:szCs w:val="24"/>
          <w:rtl w:val="0"/>
        </w:rPr>
        <w:t xml:space="preserve"> menunjukkan konflik kerja-keluarga memberi kesan besar terhadap kesihatan mental (</w:t>
      </w:r>
      <w:r w:rsidDel="00000000" w:rsidR="00000000" w:rsidRPr="00000000">
        <w:rPr>
          <w:rFonts w:ascii="Arial" w:cs="Arial" w:eastAsia="Arial" w:hAnsi="Arial"/>
          <w:i w:val="1"/>
          <w:sz w:val="24"/>
          <w:szCs w:val="24"/>
          <w:rtl w:val="0"/>
        </w:rPr>
        <w:t xml:space="preserve">F-square</w:t>
      </w:r>
      <w:r w:rsidDel="00000000" w:rsidR="00000000" w:rsidRPr="00000000">
        <w:rPr>
          <w:rFonts w:ascii="Arial" w:cs="Arial" w:eastAsia="Arial" w:hAnsi="Arial"/>
          <w:sz w:val="24"/>
          <w:szCs w:val="24"/>
          <w:rtl w:val="0"/>
        </w:rPr>
        <w:t xml:space="preserve"> 0.504), manakala kaunseling sebagai moderator memberi kesan sederhana (</w:t>
      </w:r>
      <w:r w:rsidDel="00000000" w:rsidR="00000000" w:rsidRPr="00000000">
        <w:rPr>
          <w:rFonts w:ascii="Arial" w:cs="Arial" w:eastAsia="Arial" w:hAnsi="Arial"/>
          <w:i w:val="1"/>
          <w:sz w:val="24"/>
          <w:szCs w:val="24"/>
          <w:rtl w:val="0"/>
        </w:rPr>
        <w:t xml:space="preserve">F-square</w:t>
      </w:r>
      <w:r w:rsidDel="00000000" w:rsidR="00000000" w:rsidRPr="00000000">
        <w:rPr>
          <w:rFonts w:ascii="Arial" w:cs="Arial" w:eastAsia="Arial" w:hAnsi="Arial"/>
          <w:sz w:val="24"/>
          <w:szCs w:val="24"/>
          <w:rtl w:val="0"/>
        </w:rPr>
        <w:t xml:space="preserve"> 0.105). </w:t>
      </w:r>
      <w:r w:rsidDel="00000000" w:rsidR="00000000" w:rsidRPr="00000000">
        <w:rPr>
          <w:rFonts w:ascii="Arial" w:cs="Arial" w:eastAsia="Arial" w:hAnsi="Arial"/>
          <w:i w:val="1"/>
          <w:sz w:val="24"/>
          <w:szCs w:val="24"/>
          <w:rtl w:val="0"/>
        </w:rPr>
        <w:t xml:space="preserve">Q-square</w:t>
      </w:r>
      <w:r w:rsidDel="00000000" w:rsidR="00000000" w:rsidRPr="00000000">
        <w:rPr>
          <w:rFonts w:ascii="Arial" w:cs="Arial" w:eastAsia="Arial" w:hAnsi="Arial"/>
          <w:sz w:val="24"/>
          <w:szCs w:val="24"/>
          <w:rtl w:val="0"/>
        </w:rPr>
        <w:t xml:space="preserve"> mencatat nilai 0.482, menunjukkan ketepatan prediksi sederhana, manakala SRMR dengan nilai 0.074 mengesahkan kesesuaian model yang baik.</w:t>
      </w:r>
    </w:p>
    <w:p w:rsidR="00000000" w:rsidDel="00000000" w:rsidP="00000000" w:rsidRDefault="00000000" w:rsidRPr="00000000" w14:paraId="0000010E">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Analisis </w:t>
      </w:r>
      <w:r w:rsidDel="00000000" w:rsidR="00000000" w:rsidRPr="00000000">
        <w:rPr>
          <w:rFonts w:ascii="Arial" w:cs="Arial" w:eastAsia="Arial" w:hAnsi="Arial"/>
          <w:i w:val="1"/>
          <w:sz w:val="24"/>
          <w:szCs w:val="24"/>
          <w:rtl w:val="0"/>
        </w:rPr>
        <w:t xml:space="preserve">PLS Predict</w:t>
      </w:r>
      <w:r w:rsidDel="00000000" w:rsidR="00000000" w:rsidRPr="00000000">
        <w:rPr>
          <w:rFonts w:ascii="Arial" w:cs="Arial" w:eastAsia="Arial" w:hAnsi="Arial"/>
          <w:sz w:val="24"/>
          <w:szCs w:val="24"/>
          <w:rtl w:val="0"/>
        </w:rPr>
        <w:t xml:space="preserve"> membuktikan model PLS mempunyai daya prediksi yang tinggi dengan RMSE dan MAE lebih rendah berbanding model regresi linear. CVPAT juga menyokong daya prediksi kuat dengan perbezaan negatif yang signifikan antara model PLS dan model pembanding. Secara keseluruhan, model ini mempunyai kesesuaian, ketepatan prediksi, dan validasi yang kukuh.</w:t>
      </w:r>
    </w:p>
    <w:p w:rsidR="00000000" w:rsidDel="00000000" w:rsidP="00000000" w:rsidRDefault="00000000" w:rsidRPr="00000000" w14:paraId="0000010F">
      <w:pPr>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10">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Perbincangan </w:t>
      </w:r>
    </w:p>
    <w:p w:rsidR="00000000" w:rsidDel="00000000" w:rsidP="00000000" w:rsidRDefault="00000000" w:rsidRPr="00000000" w14:paraId="0000011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Berdasarkan hasil kajian, ketiga-tiga hipotesis yang diuji dalam kajian ini menyokong hubungan signifikan antara Konflik Kerja Keluarga, Perkhidmatan Kaunseling, dan Kesihatan Mental, bertentangan dengan hipotesis null yang menyatakan tiada hubungan signifikan. Kajian ini menyokong dapatan terdahulu yang menekankan bahawa konflik kerja-keluarga memberi kesan besar terhadap kesejahteraan mental, terutama bagi wanita profesional yang terpaksa mengimbangi tuntutan kerjaya dan keluarga. Sebagai contoh, kajian oleh Greenhaus dan Beutell (1985) serta Allen et al. (2000) menunjukkan bahawa konflik kerja-keluarga secara langsung memberi kesan negatif kepada kesejahteraan mental, menyebabkan tekanan, kebimbangan, dan kemurungan. Kajian oleh Noor dan Mahudin (2016) mendapati bahawa wanita profesional di Malaysia yang menghadapi konflik kerja-keluarga berisiko tinggi mengalami masalah kesihatan mental yang lebih besar disebabkan oleh tanggungjawab kerja dan keluarga yang bertindih. Oleh itu, dapatan kajian ini menyokong hipotesis alternatif bahawa konflik kerja-keluarga benar-benar mempengaruhi kesejahteraan mental.</w:t>
      </w:r>
    </w:p>
    <w:p w:rsidR="00000000" w:rsidDel="00000000" w:rsidP="00000000" w:rsidRDefault="00000000" w:rsidRPr="00000000" w14:paraId="00000112">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Dalam konteks Perkhidmatan Kaunseling, kajian oleh Brough dan O'Driscoll (2010) serta Hammer et al. (2015) menyokong peranan penting kaunseling dalam mengurangkan kesan negatif konflik kerja-keluarga terhadap kesihatan mental, terutamanya dalam kalangan wanita profesional. Kajian ini menunjukkan bahawa kaunseling memainkan peranan yang signifikan dalam membantu wanita profesional mengurus tekanan akibat konflik kerja-keluarga dan seterusnya memperbaiki kesejahteraan mental mereka. Di Malaysia, faktor-faktor seperti kekangan masa atau stigma terhadap kaunseling mungkin sedikit menjejaskan keberkesanan kaunseling, namun hasil kajian ini masih mengesahkan peranan perkhidmatan kaunseling sebagai intervensi yang berkesan dalam menangani tekanan yang dihadapi oleh wanita profesional.</w:t>
      </w:r>
    </w:p>
    <w:p w:rsidR="00000000" w:rsidDel="00000000" w:rsidP="00000000" w:rsidRDefault="00000000" w:rsidRPr="00000000" w14:paraId="00000113">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Hipotesis ketiga yang menguji peranan Perkhidmatan Kaunseling sebagai moderator dalam hubungan antara Konflik Kerja Keluarga dan Kesihatan Mental juga disokong. Kajian terdahulu oleh Frone (2003) dan Byron (2005) menunjukkan bahawa kaunseling bertindak sebagai moderator yang berkesan dalam mengurangkan kesan negatif konflik kerja-keluarga terhadap kesejahteraan mental. Kajian ini turut menyokong dapatan ini dengan menunjukkan bahawa perkhidmatan kaunseling berfungsi sebagai faktor yang mengurangkan kesan negatif konflik tersebut, terutama bagi wanita profesional. Kajian oleh Yusoff et al. (2018) di Malaysia turut mendapati bahawa perkhidmatan kaunseling membantu wanita profesional mengurangkan tekanan akibat konflik kerja-keluarga, dan kajian ini mengesahkan dapatan tersebut dengan membuktikan bahawa kaunseling memainkan peranan yang penting dalam membantu wanita mengimbangi tuntutan kerja dan keluarga.</w:t>
      </w:r>
    </w:p>
    <w:p w:rsidR="00000000" w:rsidDel="00000000" w:rsidP="00000000" w:rsidRDefault="00000000" w:rsidRPr="00000000" w14:paraId="00000114">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Model dan Teori yang menyokong model yang digunakan dalam kajian ini, seperti Model Konflik Peranan oleh Greenhaus dan Beutell (1985), menjelaskan bagaimana konflik antara peranan di tempat kerja dan keluarga membawa kepada tekanan mental dan emosi, terutamanya bagi wanita profesional yang perlu mengimbangi beban kerja berganda. Teori Stres Kerja-Keluarga oleh Frone (2003) menekankan bahawa sokongan seperti perkhidmatan kaunseling dapat mengurangkan kesan konflik kerja-keluarga terhadap kesejahteraan mental, dan dapatan kajian ini menyokong model tersebut dengan menunjukkan kesan signifikan kaunseling dalam memoderasi hubungan antara konflik kerja-keluarga dan kesihatan mental.</w:t>
      </w:r>
    </w:p>
    <w:p w:rsidR="00000000" w:rsidDel="00000000" w:rsidP="00000000" w:rsidRDefault="00000000" w:rsidRPr="00000000" w14:paraId="00000115">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Perbezaan dengan kajian lepas, walaupun kajian ini menyokong hipotesis alternatif bahawa konflik kerja-keluarga mempengaruhi kesihatan mental dan kaunseling memainkan peranan penting, kajian ini mungkin berbeza dalam aspek budaya dan konteks kerja di Malaysia. Di negara-negara Barat, perkhidmatan kaunseling lebih diakses dan diterima sebagai sebahagian daripada sokongan pekerja, manakala di Malaysia, wanita profesional mungkin menghadapi lebih banyak cabaran untuk mengakses kaunseling disebabkan kekangan masa dan stigma. Namun, hasil kajian ini menunjukkan bahawa perkhidmatan kaunseling tetap mempunyai impak yang signifikan dalam membantu wanita profesional di Malaysia menangani konflik kerja-keluarga.</w:t>
      </w:r>
    </w:p>
    <w:p w:rsidR="00000000" w:rsidDel="00000000" w:rsidP="00000000" w:rsidRDefault="00000000" w:rsidRPr="00000000" w14:paraId="00000116">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Cadangan untuk kajian akan datang kajian akan datang perlu mempertimbangkan faktor-faktor lain yang mungkin memainkan peranan penting dalam mengurus konflik kerja-keluarga bagi wanita profesional, seperti sokongan sosial, keseimbangan kerja-hidup, dan dasar kerja yang fleksibel. Kajian juga boleh menilai keberkesanan perkhidmatan kaunseling dengan lebih mendalam, terutama dengan menilai perbezaan dalam kualiti perkhidmatan kaunseling yang disediakan di tempat kerja berbanding kaunseling peribadi. Di samping itu, penyelidikan lanjut diperlukan untuk mengkaji bagaimana faktor-faktor budaya mempengaruhi keberkesanan intervensi seperti kaunseling, terutamanya dalam membantu wanita profesional yang mempunyai tanggungjawab yang besar dalam kedua-dua bidang kerja dan keluarga.</w:t>
      </w:r>
    </w:p>
    <w:p w:rsidR="00000000" w:rsidDel="00000000" w:rsidP="00000000" w:rsidRDefault="00000000" w:rsidRPr="00000000" w14:paraId="00000117">
      <w:pPr>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Implikasi dapatan kajian ini mempunyai beberapa implikasi penting dalam konteks wanita profesional. Majikan dan organisasi perlu menilai semula keberkesanan program kaunseling yang disediakan kepada pekerja, terutama bagi wanita yang sering berdepan dengan konflik kerja-keluarga. Program kaunseling yang lebih berstruktur dan khusus untuk wanita profesional perlu diperkenalkan untuk membantu mereka menangani tekanan kerja dan keluarga dengan lebih baik. Selain itu, hasil kajian ini menunjukkan bahawa mungkin terdapat keperluan untuk memperkenalkan dasar kerja yang lebih fleksibel, seperti kerja dari rumah dan waktu kerja yang fleksibel, untuk membantu wanita profesional menguruskan peranan mereka dengan lebih berkesan. Akhir sekali, kajian ini menekankan kepentingan untuk mempertimbangkan faktor-faktor budaya dan sosial dalam menilai keberkesanan intervensi kaunseling, kerana peranan kaunseling sebagai moderator mungkin bergantung kepada konteks tempatan serta keperluan unik wanita profesional di Malaysia</w:t>
      </w:r>
    </w:p>
    <w:p w:rsidR="00000000" w:rsidDel="00000000" w:rsidP="00000000" w:rsidRDefault="00000000" w:rsidRPr="00000000" w14:paraId="00000118">
      <w:pPr>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19">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Penutup</w:t>
      </w:r>
    </w:p>
    <w:p w:rsidR="00000000" w:rsidDel="00000000" w:rsidP="00000000" w:rsidRDefault="00000000" w:rsidRPr="00000000" w14:paraId="0000011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Secara keseluruhan, kajian ini mengesahkan bahawa perkhidmatan kaunseling memainkan peranan penting dalam mengurangkan kesan negatif konflik kerja-keluarga terhadap kesihatan mental, khususnya bagi wanita profesional. Perkhidmatan kaunseling berfungsi sebagai intervensi efektif dalam menangani tekanan akibat konflik antara peranan kerjaya dan keluarga. Dapatan ini selaras dengan kajian luar negara yang menunjukkan peranan sokongan psikologi dalam meningkatkan kesejahteraan pekerja, terutamanya wanita. Namun, kajian ini mempunyai beberapa limitasi seperti saiz sampel yang terhad dan kekurangan pendekatan kualitatif. Implikasi kajian mencadangkan organisasi menyediakan perkhidmatan kaunseling yang lebih berstruktur untuk meningkatkan kesejahteraan dan produktiviti pekerja. Kajian masa depan disarankan untuk mempertimbangkan faktor lain yang mempengaruhi kesejahteraan wanita profesional.</w:t>
      </w:r>
    </w:p>
    <w:p w:rsidR="00000000" w:rsidDel="00000000" w:rsidP="00000000" w:rsidRDefault="00000000" w:rsidRPr="00000000" w14:paraId="0000011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C">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Penghargaan </w:t>
      </w:r>
    </w:p>
    <w:p w:rsidR="00000000" w:rsidDel="00000000" w:rsidP="00000000" w:rsidRDefault="00000000" w:rsidRPr="00000000" w14:paraId="0000011D">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Penyelidikan ini telah disokong oleh Geran Penyelidikan Pascasiswazah (UNI/F04/GRADUATES/85637/2022-08/12/2022), yang menyediakan bantuan kewangan penting bagi memastikan penyelidikan ini dapat diselesaikan dengan jayanya.</w:t>
      </w:r>
    </w:p>
    <w:p w:rsidR="00000000" w:rsidDel="00000000" w:rsidP="00000000" w:rsidRDefault="00000000" w:rsidRPr="00000000" w14:paraId="0000011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F">
      <w:pPr>
        <w:ind w:left="450" w:hanging="45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0">
      <w:pPr>
        <w:ind w:left="450" w:hanging="45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1">
      <w:pPr>
        <w:ind w:left="450" w:hanging="45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2">
      <w:pPr>
        <w:ind w:left="450" w:hanging="45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3">
      <w:pPr>
        <w:ind w:left="450" w:hanging="45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4">
      <w:pPr>
        <w:ind w:left="450" w:hanging="45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5">
      <w:pPr>
        <w:ind w:left="450" w:hanging="45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6">
      <w:pPr>
        <w:ind w:left="450" w:hanging="45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7">
      <w:pPr>
        <w:ind w:left="450" w:hanging="45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8">
      <w:pPr>
        <w:ind w:left="450" w:hanging="45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9">
      <w:pPr>
        <w:ind w:left="450" w:hanging="45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Rujukan </w:t>
      </w:r>
    </w:p>
    <w:p w:rsidR="00000000" w:rsidDel="00000000" w:rsidP="00000000" w:rsidRDefault="00000000" w:rsidRPr="00000000" w14:paraId="0000012A">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Allen, T. D., French, K. A., Dumani, S., &amp; Shockley, K. M. (2020). A cross-national meta-analytic examination of predictors and outcomes associated with work-family conflict. </w:t>
      </w:r>
      <w:r w:rsidDel="00000000" w:rsidR="00000000" w:rsidRPr="00000000">
        <w:rPr>
          <w:rFonts w:ascii="Arial" w:cs="Arial" w:eastAsia="Arial" w:hAnsi="Arial"/>
          <w:i w:val="1"/>
          <w:sz w:val="24"/>
          <w:szCs w:val="24"/>
          <w:rtl w:val="0"/>
        </w:rPr>
        <w:t xml:space="preserve">Journal of Applied Psychology</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105</w:t>
      </w:r>
      <w:r w:rsidDel="00000000" w:rsidR="00000000" w:rsidRPr="00000000">
        <w:rPr>
          <w:rFonts w:ascii="Arial" w:cs="Arial" w:eastAsia="Arial" w:hAnsi="Arial"/>
          <w:sz w:val="24"/>
          <w:szCs w:val="24"/>
          <w:rtl w:val="0"/>
        </w:rPr>
        <w:t xml:space="preserve">(6), 539-576. </w:t>
      </w:r>
      <w:hyperlink r:id="rId7">
        <w:r w:rsidDel="00000000" w:rsidR="00000000" w:rsidRPr="00000000">
          <w:rPr>
            <w:rFonts w:ascii="Arial" w:cs="Arial" w:eastAsia="Arial" w:hAnsi="Arial"/>
            <w:color w:val="0563c1"/>
            <w:sz w:val="24"/>
            <w:szCs w:val="24"/>
            <w:u w:val="single"/>
            <w:rtl w:val="0"/>
          </w:rPr>
          <w:t xml:space="preserve">https://doi.org/10.1037/apl0000452</w:t>
        </w:r>
      </w:hyperlink>
      <w:r w:rsidDel="00000000" w:rsidR="00000000" w:rsidRPr="00000000">
        <w:rPr>
          <w:rtl w:val="0"/>
        </w:rPr>
      </w:r>
    </w:p>
    <w:p w:rsidR="00000000" w:rsidDel="00000000" w:rsidP="00000000" w:rsidRDefault="00000000" w:rsidRPr="00000000" w14:paraId="0000012B">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Allen, T.D., Herst, D.E., Bruck, C.S., &amp; Sutton, M. (2000). Consequences associated with work-to-family conflict: A review and agenda for future research. </w:t>
      </w:r>
      <w:r w:rsidDel="00000000" w:rsidR="00000000" w:rsidRPr="00000000">
        <w:rPr>
          <w:rFonts w:ascii="Arial" w:cs="Arial" w:eastAsia="Arial" w:hAnsi="Arial"/>
          <w:i w:val="1"/>
          <w:sz w:val="24"/>
          <w:szCs w:val="24"/>
          <w:rtl w:val="0"/>
        </w:rPr>
        <w:t xml:space="preserve">Journal of Occupational Health Psychology, 5</w:t>
      </w:r>
      <w:r w:rsidDel="00000000" w:rsidR="00000000" w:rsidRPr="00000000">
        <w:rPr>
          <w:rFonts w:ascii="Arial" w:cs="Arial" w:eastAsia="Arial" w:hAnsi="Arial"/>
          <w:sz w:val="24"/>
          <w:szCs w:val="24"/>
          <w:rtl w:val="0"/>
        </w:rPr>
        <w:t xml:space="preserve">(2), 278-308. </w:t>
      </w:r>
      <w:hyperlink r:id="rId8">
        <w:r w:rsidDel="00000000" w:rsidR="00000000" w:rsidRPr="00000000">
          <w:rPr>
            <w:rFonts w:ascii="Arial" w:cs="Arial" w:eastAsia="Arial" w:hAnsi="Arial"/>
            <w:color w:val="0563c1"/>
            <w:sz w:val="24"/>
            <w:szCs w:val="24"/>
            <w:u w:val="single"/>
            <w:rtl w:val="0"/>
          </w:rPr>
          <w:t xml:space="preserve">https://doi.org/10.1037/1076-8998.5.2.278</w:t>
        </w:r>
      </w:hyperlink>
      <w:r w:rsidDel="00000000" w:rsidR="00000000" w:rsidRPr="00000000">
        <w:rPr>
          <w:rtl w:val="0"/>
        </w:rPr>
      </w:r>
    </w:p>
    <w:p w:rsidR="00000000" w:rsidDel="00000000" w:rsidP="00000000" w:rsidRDefault="00000000" w:rsidRPr="00000000" w14:paraId="0000012C">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Brough, P., &amp; O'Driscoll, M. P. (2010). Organizational interventions for balancing work and home demands: An overview. </w:t>
      </w:r>
      <w:r w:rsidDel="00000000" w:rsidR="00000000" w:rsidRPr="00000000">
        <w:rPr>
          <w:rFonts w:ascii="Arial" w:cs="Arial" w:eastAsia="Arial" w:hAnsi="Arial"/>
          <w:i w:val="1"/>
          <w:sz w:val="24"/>
          <w:szCs w:val="24"/>
          <w:rtl w:val="0"/>
        </w:rPr>
        <w:t xml:space="preserve">Work and Stress</w:t>
      </w:r>
      <w:r w:rsidDel="00000000" w:rsidR="00000000" w:rsidRPr="00000000">
        <w:rPr>
          <w:rFonts w:ascii="Arial" w:cs="Arial" w:eastAsia="Arial" w:hAnsi="Arial"/>
          <w:sz w:val="24"/>
          <w:szCs w:val="24"/>
          <w:rtl w:val="0"/>
        </w:rPr>
        <w:t xml:space="preserve">, 24(3), 280-297. </w:t>
      </w:r>
      <w:hyperlink r:id="rId9">
        <w:r w:rsidDel="00000000" w:rsidR="00000000" w:rsidRPr="00000000">
          <w:rPr>
            <w:rFonts w:ascii="Arial" w:cs="Arial" w:eastAsia="Arial" w:hAnsi="Arial"/>
            <w:color w:val="0563c1"/>
            <w:sz w:val="24"/>
            <w:szCs w:val="24"/>
            <w:u w:val="single"/>
            <w:rtl w:val="0"/>
          </w:rPr>
          <w:t xml:space="preserve">https://doi.org/10.1080/02678373.2010.519699</w:t>
        </w:r>
      </w:hyperlink>
      <w:r w:rsidDel="00000000" w:rsidR="00000000" w:rsidRPr="00000000">
        <w:rPr>
          <w:rtl w:val="0"/>
        </w:rPr>
      </w:r>
    </w:p>
    <w:p w:rsidR="00000000" w:rsidDel="00000000" w:rsidP="00000000" w:rsidRDefault="00000000" w:rsidRPr="00000000" w14:paraId="0000012D">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Byron, K. (2005). A meta-analytic review of work-family conflict and its antecedents. </w:t>
      </w:r>
      <w:r w:rsidDel="00000000" w:rsidR="00000000" w:rsidRPr="00000000">
        <w:rPr>
          <w:rFonts w:ascii="Arial" w:cs="Arial" w:eastAsia="Arial" w:hAnsi="Arial"/>
          <w:i w:val="1"/>
          <w:sz w:val="24"/>
          <w:szCs w:val="24"/>
          <w:rtl w:val="0"/>
        </w:rPr>
        <w:t xml:space="preserve">Journal of Vocational Behavior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67</w:t>
      </w:r>
      <w:r w:rsidDel="00000000" w:rsidR="00000000" w:rsidRPr="00000000">
        <w:rPr>
          <w:rFonts w:ascii="Arial" w:cs="Arial" w:eastAsia="Arial" w:hAnsi="Arial"/>
          <w:sz w:val="24"/>
          <w:szCs w:val="24"/>
          <w:rtl w:val="0"/>
        </w:rPr>
        <w:t xml:space="preserve">(2), 169-198. </w:t>
      </w:r>
      <w:hyperlink r:id="rId10">
        <w:r w:rsidDel="00000000" w:rsidR="00000000" w:rsidRPr="00000000">
          <w:rPr>
            <w:rFonts w:ascii="Arial" w:cs="Arial" w:eastAsia="Arial" w:hAnsi="Arial"/>
            <w:color w:val="0563c1"/>
            <w:sz w:val="24"/>
            <w:szCs w:val="24"/>
            <w:u w:val="single"/>
            <w:rtl w:val="0"/>
          </w:rPr>
          <w:t xml:space="preserve">https://doi.org/10.1016/j.jvb.2004.08.009</w:t>
        </w:r>
      </w:hyperlink>
      <w:r w:rsidDel="00000000" w:rsidR="00000000" w:rsidRPr="00000000">
        <w:rPr>
          <w:rtl w:val="0"/>
        </w:rPr>
      </w:r>
    </w:p>
    <w:p w:rsidR="00000000" w:rsidDel="00000000" w:rsidP="00000000" w:rsidRDefault="00000000" w:rsidRPr="00000000" w14:paraId="0000012E">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Carlson, D. S., Kacmar, K. M., &amp; Williams, L. J. (2000). Construction and initial validation of a multidimensional measure of work–family conflict. </w:t>
      </w:r>
      <w:r w:rsidDel="00000000" w:rsidR="00000000" w:rsidRPr="00000000">
        <w:rPr>
          <w:rFonts w:ascii="Arial" w:cs="Arial" w:eastAsia="Arial" w:hAnsi="Arial"/>
          <w:i w:val="1"/>
          <w:sz w:val="24"/>
          <w:szCs w:val="24"/>
          <w:rtl w:val="0"/>
        </w:rPr>
        <w:t xml:space="preserve">Journal of Vocational Behavior</w:t>
      </w:r>
      <w:r w:rsidDel="00000000" w:rsidR="00000000" w:rsidRPr="00000000">
        <w:rPr>
          <w:rFonts w:ascii="Arial" w:cs="Arial" w:eastAsia="Arial" w:hAnsi="Arial"/>
          <w:sz w:val="24"/>
          <w:szCs w:val="24"/>
          <w:rtl w:val="0"/>
        </w:rPr>
        <w:t xml:space="preserve">, 56(2), 249-276. </w:t>
      </w:r>
      <w:hyperlink r:id="rId11">
        <w:r w:rsidDel="00000000" w:rsidR="00000000" w:rsidRPr="00000000">
          <w:rPr>
            <w:rFonts w:ascii="Arial" w:cs="Arial" w:eastAsia="Arial" w:hAnsi="Arial"/>
            <w:color w:val="0563c1"/>
            <w:sz w:val="24"/>
            <w:szCs w:val="24"/>
            <w:u w:val="single"/>
            <w:rtl w:val="0"/>
          </w:rPr>
          <w:t xml:space="preserve">https://doi.org/10.1006/jvbe.1999.1713</w:t>
        </w:r>
      </w:hyperlink>
      <w:r w:rsidDel="00000000" w:rsidR="00000000" w:rsidRPr="00000000">
        <w:rPr>
          <w:rtl w:val="0"/>
        </w:rPr>
      </w:r>
    </w:p>
    <w:p w:rsidR="00000000" w:rsidDel="00000000" w:rsidP="00000000" w:rsidRDefault="00000000" w:rsidRPr="00000000" w14:paraId="0000012F">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DeVellis, R. F. (2017). </w:t>
      </w:r>
      <w:r w:rsidDel="00000000" w:rsidR="00000000" w:rsidRPr="00000000">
        <w:rPr>
          <w:rFonts w:ascii="Arial" w:cs="Arial" w:eastAsia="Arial" w:hAnsi="Arial"/>
          <w:i w:val="1"/>
          <w:sz w:val="24"/>
          <w:szCs w:val="24"/>
          <w:rtl w:val="0"/>
        </w:rPr>
        <w:t xml:space="preserve">Scale Development: Theory and Applications</w:t>
      </w:r>
      <w:r w:rsidDel="00000000" w:rsidR="00000000" w:rsidRPr="00000000">
        <w:rPr>
          <w:rFonts w:ascii="Arial" w:cs="Arial" w:eastAsia="Arial" w:hAnsi="Arial"/>
          <w:sz w:val="24"/>
          <w:szCs w:val="24"/>
          <w:rtl w:val="0"/>
        </w:rPr>
        <w:t xml:space="preserve"> (4th ed.). SAGE Publications.</w:t>
      </w:r>
    </w:p>
    <w:p w:rsidR="00000000" w:rsidDel="00000000" w:rsidP="00000000" w:rsidRDefault="00000000" w:rsidRPr="00000000" w14:paraId="00000130">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El-Metwally, A., Shaikh, Q., Aldiab, A., AlZahrani, A., Al-Ghamdi, S., Shubair, M. M., &amp; Aldossari, K. K. (2018). The factor structure of the General Health Questionnaire (GHQ12) in Saudi Arabia. </w:t>
      </w:r>
      <w:r w:rsidDel="00000000" w:rsidR="00000000" w:rsidRPr="00000000">
        <w:rPr>
          <w:rFonts w:ascii="Arial" w:cs="Arial" w:eastAsia="Arial" w:hAnsi="Arial"/>
          <w:i w:val="1"/>
          <w:sz w:val="24"/>
          <w:szCs w:val="24"/>
          <w:rtl w:val="0"/>
        </w:rPr>
        <w:t xml:space="preserve">BMC Health Services Research</w:t>
      </w:r>
      <w:r w:rsidDel="00000000" w:rsidR="00000000" w:rsidRPr="00000000">
        <w:rPr>
          <w:rFonts w:ascii="Arial" w:cs="Arial" w:eastAsia="Arial" w:hAnsi="Arial"/>
          <w:sz w:val="24"/>
          <w:szCs w:val="24"/>
          <w:rtl w:val="0"/>
        </w:rPr>
        <w:t xml:space="preserve">, 18, 595. </w:t>
      </w:r>
      <w:hyperlink r:id="rId12">
        <w:r w:rsidDel="00000000" w:rsidR="00000000" w:rsidRPr="00000000">
          <w:rPr>
            <w:rFonts w:ascii="Arial" w:cs="Arial" w:eastAsia="Arial" w:hAnsi="Arial"/>
            <w:color w:val="0563c1"/>
            <w:sz w:val="24"/>
            <w:szCs w:val="24"/>
            <w:u w:val="single"/>
            <w:rtl w:val="0"/>
          </w:rPr>
          <w:t xml:space="preserve">https://doi.org/10.1186/s12913-018-3377-4</w:t>
        </w:r>
      </w:hyperlink>
      <w:r w:rsidDel="00000000" w:rsidR="00000000" w:rsidRPr="00000000">
        <w:rPr>
          <w:rtl w:val="0"/>
        </w:rPr>
      </w:r>
    </w:p>
    <w:p w:rsidR="00000000" w:rsidDel="00000000" w:rsidP="00000000" w:rsidRDefault="00000000" w:rsidRPr="00000000" w14:paraId="00000131">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Farhan, A. (2021). Mental health outcomes and occupational stress among healthcare workers in pandemic settings. </w:t>
      </w:r>
      <w:r w:rsidDel="00000000" w:rsidR="00000000" w:rsidRPr="00000000">
        <w:rPr>
          <w:rFonts w:ascii="Arial" w:cs="Arial" w:eastAsia="Arial" w:hAnsi="Arial"/>
          <w:i w:val="1"/>
          <w:sz w:val="24"/>
          <w:szCs w:val="24"/>
          <w:rtl w:val="0"/>
        </w:rPr>
        <w:t xml:space="preserve">Journal of Occupational Health Psychology</w:t>
      </w:r>
      <w:r w:rsidDel="00000000" w:rsidR="00000000" w:rsidRPr="00000000">
        <w:rPr>
          <w:rFonts w:ascii="Arial" w:cs="Arial" w:eastAsia="Arial" w:hAnsi="Arial"/>
          <w:sz w:val="24"/>
          <w:szCs w:val="24"/>
          <w:rtl w:val="0"/>
        </w:rPr>
        <w:t xml:space="preserve">, 26(1), 45-58. </w:t>
      </w:r>
      <w:hyperlink r:id="rId13">
        <w:r w:rsidDel="00000000" w:rsidR="00000000" w:rsidRPr="00000000">
          <w:rPr>
            <w:rFonts w:ascii="Arial" w:cs="Arial" w:eastAsia="Arial" w:hAnsi="Arial"/>
            <w:color w:val="0563c1"/>
            <w:sz w:val="24"/>
            <w:szCs w:val="24"/>
            <w:u w:val="single"/>
            <w:rtl w:val="0"/>
          </w:rPr>
          <w:t xml:space="preserve">https://doi.org/10.1037/ocp0000282</w:t>
        </w:r>
      </w:hyperlink>
      <w:r w:rsidDel="00000000" w:rsidR="00000000" w:rsidRPr="00000000">
        <w:rPr>
          <w:rtl w:val="0"/>
        </w:rPr>
      </w:r>
    </w:p>
    <w:p w:rsidR="00000000" w:rsidDel="00000000" w:rsidP="00000000" w:rsidRDefault="00000000" w:rsidRPr="00000000" w14:paraId="00000132">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Field, A. (2018). </w:t>
      </w:r>
      <w:r w:rsidDel="00000000" w:rsidR="00000000" w:rsidRPr="00000000">
        <w:rPr>
          <w:rFonts w:ascii="Arial" w:cs="Arial" w:eastAsia="Arial" w:hAnsi="Arial"/>
          <w:i w:val="1"/>
          <w:sz w:val="24"/>
          <w:szCs w:val="24"/>
          <w:rtl w:val="0"/>
        </w:rPr>
        <w:t xml:space="preserve">Discovering Statistics Using IBM SPSS Statistics</w:t>
      </w:r>
      <w:r w:rsidDel="00000000" w:rsidR="00000000" w:rsidRPr="00000000">
        <w:rPr>
          <w:rFonts w:ascii="Arial" w:cs="Arial" w:eastAsia="Arial" w:hAnsi="Arial"/>
          <w:sz w:val="24"/>
          <w:szCs w:val="24"/>
          <w:rtl w:val="0"/>
        </w:rPr>
        <w:t xml:space="preserve"> (5th ed.). SAGE Publications. </w:t>
      </w:r>
    </w:p>
    <w:p w:rsidR="00000000" w:rsidDel="00000000" w:rsidP="00000000" w:rsidRDefault="00000000" w:rsidRPr="00000000" w14:paraId="00000133">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Fischer, E. H., &amp; Farina, A. (1995). Attitudes toward seeking professional psychological help: A shortened form and considerations for research. </w:t>
      </w:r>
      <w:r w:rsidDel="00000000" w:rsidR="00000000" w:rsidRPr="00000000">
        <w:rPr>
          <w:rFonts w:ascii="Arial" w:cs="Arial" w:eastAsia="Arial" w:hAnsi="Arial"/>
          <w:i w:val="1"/>
          <w:sz w:val="24"/>
          <w:szCs w:val="24"/>
          <w:rtl w:val="0"/>
        </w:rPr>
        <w:t xml:space="preserve">Journal of College Student Development</w:t>
      </w:r>
      <w:r w:rsidDel="00000000" w:rsidR="00000000" w:rsidRPr="00000000">
        <w:rPr>
          <w:rFonts w:ascii="Arial" w:cs="Arial" w:eastAsia="Arial" w:hAnsi="Arial"/>
          <w:sz w:val="24"/>
          <w:szCs w:val="24"/>
          <w:rtl w:val="0"/>
        </w:rPr>
        <w:t xml:space="preserve">, 36(4), 368-373. </w:t>
      </w:r>
      <w:r w:rsidDel="00000000" w:rsidR="00000000" w:rsidRPr="00000000">
        <w:rPr>
          <w:rFonts w:ascii="Arial" w:cs="Arial" w:eastAsia="Arial" w:hAnsi="Arial"/>
          <w:i w:val="1"/>
          <w:sz w:val="24"/>
          <w:szCs w:val="24"/>
          <w:rtl w:val="0"/>
        </w:rPr>
        <w:t xml:space="preserve">(No DOI available for this article)</w:t>
      </w:r>
      <w:r w:rsidDel="00000000" w:rsidR="00000000" w:rsidRPr="00000000">
        <w:rPr>
          <w:rtl w:val="0"/>
        </w:rPr>
      </w:r>
    </w:p>
    <w:p w:rsidR="00000000" w:rsidDel="00000000" w:rsidP="00000000" w:rsidRDefault="00000000" w:rsidRPr="00000000" w14:paraId="00000134">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Frone, M. R. (2003). Work-family balance. In </w:t>
      </w:r>
      <w:r w:rsidDel="00000000" w:rsidR="00000000" w:rsidRPr="00000000">
        <w:rPr>
          <w:rFonts w:ascii="Arial" w:cs="Arial" w:eastAsia="Arial" w:hAnsi="Arial"/>
          <w:i w:val="1"/>
          <w:sz w:val="24"/>
          <w:szCs w:val="24"/>
          <w:rtl w:val="0"/>
        </w:rPr>
        <w:t xml:space="preserve">Handbook of occupational health psychology</w:t>
      </w:r>
      <w:r w:rsidDel="00000000" w:rsidR="00000000" w:rsidRPr="00000000">
        <w:rPr>
          <w:rFonts w:ascii="Arial" w:cs="Arial" w:eastAsia="Arial" w:hAnsi="Arial"/>
          <w:sz w:val="24"/>
          <w:szCs w:val="24"/>
          <w:rtl w:val="0"/>
        </w:rPr>
        <w:t xml:space="preserve"> (pp. 143-162). American Psychological Association. </w:t>
      </w:r>
      <w:hyperlink r:id="rId14">
        <w:r w:rsidDel="00000000" w:rsidR="00000000" w:rsidRPr="00000000">
          <w:rPr>
            <w:rFonts w:ascii="Arial" w:cs="Arial" w:eastAsia="Arial" w:hAnsi="Arial"/>
            <w:color w:val="0563c1"/>
            <w:sz w:val="24"/>
            <w:szCs w:val="24"/>
            <w:u w:val="single"/>
            <w:rtl w:val="0"/>
          </w:rPr>
          <w:t xml:space="preserve">https://doi.org/10.1037/10474-007</w:t>
        </w:r>
      </w:hyperlink>
      <w:r w:rsidDel="00000000" w:rsidR="00000000" w:rsidRPr="00000000">
        <w:rPr>
          <w:rtl w:val="0"/>
        </w:rPr>
      </w:r>
    </w:p>
    <w:p w:rsidR="00000000" w:rsidDel="00000000" w:rsidP="00000000" w:rsidRDefault="00000000" w:rsidRPr="00000000" w14:paraId="00000135">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Goh, Z., Ilies, R., &amp; Wilson, K. S. (2022). Work-family conflict and well-being: A meta-analysis. </w:t>
      </w:r>
      <w:r w:rsidDel="00000000" w:rsidR="00000000" w:rsidRPr="00000000">
        <w:rPr>
          <w:rFonts w:ascii="Arial" w:cs="Arial" w:eastAsia="Arial" w:hAnsi="Arial"/>
          <w:i w:val="1"/>
          <w:sz w:val="24"/>
          <w:szCs w:val="24"/>
          <w:rtl w:val="0"/>
        </w:rPr>
        <w:t xml:space="preserve">Journal of Organizational Behavior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43</w:t>
      </w:r>
      <w:r w:rsidDel="00000000" w:rsidR="00000000" w:rsidRPr="00000000">
        <w:rPr>
          <w:rFonts w:ascii="Arial" w:cs="Arial" w:eastAsia="Arial" w:hAnsi="Arial"/>
          <w:sz w:val="24"/>
          <w:szCs w:val="24"/>
          <w:rtl w:val="0"/>
        </w:rPr>
        <w:t xml:space="preserve">(1), 58-79. </w:t>
      </w:r>
      <w:hyperlink r:id="rId15">
        <w:r w:rsidDel="00000000" w:rsidR="00000000" w:rsidRPr="00000000">
          <w:rPr>
            <w:rFonts w:ascii="Arial" w:cs="Arial" w:eastAsia="Arial" w:hAnsi="Arial"/>
            <w:color w:val="0563c1"/>
            <w:sz w:val="24"/>
            <w:szCs w:val="24"/>
            <w:u w:val="single"/>
            <w:rtl w:val="0"/>
          </w:rPr>
          <w:t xml:space="preserve">https://doi.org/10.1002/job.2548</w:t>
        </w:r>
      </w:hyperlink>
      <w:r w:rsidDel="00000000" w:rsidR="00000000" w:rsidRPr="00000000">
        <w:rPr>
          <w:rtl w:val="0"/>
        </w:rPr>
      </w:r>
    </w:p>
    <w:p w:rsidR="00000000" w:rsidDel="00000000" w:rsidP="00000000" w:rsidRDefault="00000000" w:rsidRPr="00000000" w14:paraId="00000136">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Goldberg, D. P., &amp; Williams, P. (1972). A user's guide to the General Health Questionnaire. </w:t>
      </w:r>
      <w:r w:rsidDel="00000000" w:rsidR="00000000" w:rsidRPr="00000000">
        <w:rPr>
          <w:rFonts w:ascii="Arial" w:cs="Arial" w:eastAsia="Arial" w:hAnsi="Arial"/>
          <w:i w:val="1"/>
          <w:sz w:val="24"/>
          <w:szCs w:val="24"/>
          <w:rtl w:val="0"/>
        </w:rPr>
        <w:t xml:space="preserve">NFER Publishing</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37">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Greenhaus, J. H., &amp; Beutell, N. J. (1985). Sources of conflict between work and family roles. </w:t>
      </w:r>
      <w:r w:rsidDel="00000000" w:rsidR="00000000" w:rsidRPr="00000000">
        <w:rPr>
          <w:rFonts w:ascii="Arial" w:cs="Arial" w:eastAsia="Arial" w:hAnsi="Arial"/>
          <w:i w:val="1"/>
          <w:sz w:val="24"/>
          <w:szCs w:val="24"/>
          <w:rtl w:val="0"/>
        </w:rPr>
        <w:t xml:space="preserve">Academy of Management Review</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10</w:t>
      </w:r>
      <w:r w:rsidDel="00000000" w:rsidR="00000000" w:rsidRPr="00000000">
        <w:rPr>
          <w:rFonts w:ascii="Arial" w:cs="Arial" w:eastAsia="Arial" w:hAnsi="Arial"/>
          <w:sz w:val="24"/>
          <w:szCs w:val="24"/>
          <w:rtl w:val="0"/>
        </w:rPr>
        <w:t xml:space="preserve">(1), 76-88. </w:t>
      </w:r>
      <w:hyperlink r:id="rId16">
        <w:r w:rsidDel="00000000" w:rsidR="00000000" w:rsidRPr="00000000">
          <w:rPr>
            <w:rFonts w:ascii="Arial" w:cs="Arial" w:eastAsia="Arial" w:hAnsi="Arial"/>
            <w:color w:val="0563c1"/>
            <w:sz w:val="24"/>
            <w:szCs w:val="24"/>
            <w:u w:val="single"/>
            <w:rtl w:val="0"/>
          </w:rPr>
          <w:t xml:space="preserve">https://doi.org/10.2307/258214</w:t>
        </w:r>
      </w:hyperlink>
      <w:r w:rsidDel="00000000" w:rsidR="00000000" w:rsidRPr="00000000">
        <w:rPr>
          <w:rtl w:val="0"/>
        </w:rPr>
      </w:r>
    </w:p>
    <w:p w:rsidR="00000000" w:rsidDel="00000000" w:rsidP="00000000" w:rsidRDefault="00000000" w:rsidRPr="00000000" w14:paraId="00000138">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Greenhaus, J.H., &amp; Beutell, N.J. (1985). Sources of conflict between work and family roles. </w:t>
      </w:r>
      <w:r w:rsidDel="00000000" w:rsidR="00000000" w:rsidRPr="00000000">
        <w:rPr>
          <w:rFonts w:ascii="Arial" w:cs="Arial" w:eastAsia="Arial" w:hAnsi="Arial"/>
          <w:i w:val="1"/>
          <w:sz w:val="24"/>
          <w:szCs w:val="24"/>
          <w:rtl w:val="0"/>
        </w:rPr>
        <w:t xml:space="preserve">Academy of Management Review, 10</w:t>
      </w:r>
      <w:r w:rsidDel="00000000" w:rsidR="00000000" w:rsidRPr="00000000">
        <w:rPr>
          <w:rFonts w:ascii="Arial" w:cs="Arial" w:eastAsia="Arial" w:hAnsi="Arial"/>
          <w:sz w:val="24"/>
          <w:szCs w:val="24"/>
          <w:rtl w:val="0"/>
        </w:rPr>
        <w:t xml:space="preserve">(1), 76-88. </w:t>
      </w:r>
      <w:hyperlink r:id="rId17">
        <w:r w:rsidDel="00000000" w:rsidR="00000000" w:rsidRPr="00000000">
          <w:rPr>
            <w:rFonts w:ascii="Arial" w:cs="Arial" w:eastAsia="Arial" w:hAnsi="Arial"/>
            <w:color w:val="0563c1"/>
            <w:sz w:val="24"/>
            <w:szCs w:val="24"/>
            <w:u w:val="single"/>
            <w:rtl w:val="0"/>
          </w:rPr>
          <w:t xml:space="preserve">https://doi.org/10.2307/258214</w:t>
        </w:r>
      </w:hyperlink>
      <w:r w:rsidDel="00000000" w:rsidR="00000000" w:rsidRPr="00000000">
        <w:rPr>
          <w:rtl w:val="0"/>
        </w:rPr>
      </w:r>
    </w:p>
    <w:p w:rsidR="00000000" w:rsidDel="00000000" w:rsidP="00000000" w:rsidRDefault="00000000" w:rsidRPr="00000000" w14:paraId="00000139">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Gutek, B. A., Searle, S., &amp; Klepa, L. (1991). Rational versus gender role explanations for work-family conflict. </w:t>
      </w:r>
      <w:r w:rsidDel="00000000" w:rsidR="00000000" w:rsidRPr="00000000">
        <w:rPr>
          <w:rFonts w:ascii="Arial" w:cs="Arial" w:eastAsia="Arial" w:hAnsi="Arial"/>
          <w:i w:val="1"/>
          <w:sz w:val="24"/>
          <w:szCs w:val="24"/>
          <w:rtl w:val="0"/>
        </w:rPr>
        <w:t xml:space="preserve">Journal of Applied Psychology</w:t>
      </w:r>
      <w:r w:rsidDel="00000000" w:rsidR="00000000" w:rsidRPr="00000000">
        <w:rPr>
          <w:rFonts w:ascii="Arial" w:cs="Arial" w:eastAsia="Arial" w:hAnsi="Arial"/>
          <w:sz w:val="24"/>
          <w:szCs w:val="24"/>
          <w:rtl w:val="0"/>
        </w:rPr>
        <w:t xml:space="preserve">, 76(4), 560-568. </w:t>
      </w:r>
      <w:hyperlink r:id="rId18">
        <w:r w:rsidDel="00000000" w:rsidR="00000000" w:rsidRPr="00000000">
          <w:rPr>
            <w:rFonts w:ascii="Arial" w:cs="Arial" w:eastAsia="Arial" w:hAnsi="Arial"/>
            <w:color w:val="0563c1"/>
            <w:sz w:val="24"/>
            <w:szCs w:val="24"/>
            <w:u w:val="single"/>
            <w:rtl w:val="0"/>
          </w:rPr>
          <w:t xml:space="preserve">https://doi.org/10.1037/0021-9010.76.4.560</w:t>
        </w:r>
      </w:hyperlink>
      <w:r w:rsidDel="00000000" w:rsidR="00000000" w:rsidRPr="00000000">
        <w:rPr>
          <w:rtl w:val="0"/>
        </w:rPr>
      </w:r>
    </w:p>
    <w:p w:rsidR="00000000" w:rsidDel="00000000" w:rsidP="00000000" w:rsidRDefault="00000000" w:rsidRPr="00000000" w14:paraId="0000013A">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Hair, J. F., Anderson, R. E., Tatham, R. L., &amp; Black, W. C. (1998). </w:t>
      </w:r>
      <w:r w:rsidDel="00000000" w:rsidR="00000000" w:rsidRPr="00000000">
        <w:rPr>
          <w:rFonts w:ascii="Arial" w:cs="Arial" w:eastAsia="Arial" w:hAnsi="Arial"/>
          <w:i w:val="1"/>
          <w:sz w:val="24"/>
          <w:szCs w:val="24"/>
          <w:rtl w:val="0"/>
        </w:rPr>
        <w:t xml:space="preserve">Multivariate Data Analysis</w:t>
      </w:r>
      <w:r w:rsidDel="00000000" w:rsidR="00000000" w:rsidRPr="00000000">
        <w:rPr>
          <w:rFonts w:ascii="Arial" w:cs="Arial" w:eastAsia="Arial" w:hAnsi="Arial"/>
          <w:sz w:val="24"/>
          <w:szCs w:val="24"/>
          <w:rtl w:val="0"/>
        </w:rPr>
        <w:t xml:space="preserve"> (5th ed.). Prentice Hall. </w:t>
      </w:r>
      <w:r w:rsidDel="00000000" w:rsidR="00000000" w:rsidRPr="00000000">
        <w:rPr>
          <w:rFonts w:ascii="Arial" w:cs="Arial" w:eastAsia="Arial" w:hAnsi="Arial"/>
          <w:i w:val="1"/>
          <w:sz w:val="24"/>
          <w:szCs w:val="24"/>
          <w:rtl w:val="0"/>
        </w:rPr>
        <w:t xml:space="preserve">(No DOI available for the book)</w:t>
      </w:r>
      <w:r w:rsidDel="00000000" w:rsidR="00000000" w:rsidRPr="00000000">
        <w:rPr>
          <w:rtl w:val="0"/>
        </w:rPr>
      </w:r>
    </w:p>
    <w:p w:rsidR="00000000" w:rsidDel="00000000" w:rsidP="00000000" w:rsidRDefault="00000000" w:rsidRPr="00000000" w14:paraId="0000013B">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Hair, J. F., Hult, G. T. M., Ringle, C. M., &amp; Sarstedt, M. (2017). </w:t>
      </w:r>
      <w:r w:rsidDel="00000000" w:rsidR="00000000" w:rsidRPr="00000000">
        <w:rPr>
          <w:rFonts w:ascii="Arial" w:cs="Arial" w:eastAsia="Arial" w:hAnsi="Arial"/>
          <w:i w:val="1"/>
          <w:sz w:val="24"/>
          <w:szCs w:val="24"/>
          <w:rtl w:val="0"/>
        </w:rPr>
        <w:t xml:space="preserve">A primer on partial least squares structural equation modeling (PLS-SEM)</w:t>
      </w:r>
      <w:r w:rsidDel="00000000" w:rsidR="00000000" w:rsidRPr="00000000">
        <w:rPr>
          <w:rFonts w:ascii="Arial" w:cs="Arial" w:eastAsia="Arial" w:hAnsi="Arial"/>
          <w:sz w:val="24"/>
          <w:szCs w:val="24"/>
          <w:rtl w:val="0"/>
        </w:rPr>
        <w:t xml:space="preserve"> (2nd ed.). Sage Publications. </w:t>
      </w:r>
    </w:p>
    <w:p w:rsidR="00000000" w:rsidDel="00000000" w:rsidP="00000000" w:rsidRDefault="00000000" w:rsidRPr="00000000" w14:paraId="0000013C">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Hammer, L. B., Neal, M. B., Newsom, J. T., Brockwood, K. J., &amp; Colton, C. L. (2015). A longitudinal study of the effects of dual-earner couples’ work-family conflict on employee health. </w:t>
      </w:r>
      <w:r w:rsidDel="00000000" w:rsidR="00000000" w:rsidRPr="00000000">
        <w:rPr>
          <w:rFonts w:ascii="Arial" w:cs="Arial" w:eastAsia="Arial" w:hAnsi="Arial"/>
          <w:i w:val="1"/>
          <w:sz w:val="24"/>
          <w:szCs w:val="24"/>
          <w:rtl w:val="0"/>
        </w:rPr>
        <w:t xml:space="preserve">Journal of Applied Psychology</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100</w:t>
      </w:r>
      <w:r w:rsidDel="00000000" w:rsidR="00000000" w:rsidRPr="00000000">
        <w:rPr>
          <w:rFonts w:ascii="Arial" w:cs="Arial" w:eastAsia="Arial" w:hAnsi="Arial"/>
          <w:sz w:val="24"/>
          <w:szCs w:val="24"/>
          <w:rtl w:val="0"/>
        </w:rPr>
        <w:t xml:space="preserve">(2), 436-445. </w:t>
      </w:r>
      <w:hyperlink r:id="rId19">
        <w:r w:rsidDel="00000000" w:rsidR="00000000" w:rsidRPr="00000000">
          <w:rPr>
            <w:rFonts w:ascii="Arial" w:cs="Arial" w:eastAsia="Arial" w:hAnsi="Arial"/>
            <w:color w:val="0563c1"/>
            <w:sz w:val="24"/>
            <w:szCs w:val="24"/>
            <w:u w:val="single"/>
            <w:rtl w:val="0"/>
          </w:rPr>
          <w:t xml:space="preserve">https://doi.org/10.1037/a0038218</w:t>
        </w:r>
      </w:hyperlink>
      <w:r w:rsidDel="00000000" w:rsidR="00000000" w:rsidRPr="00000000">
        <w:rPr>
          <w:rtl w:val="0"/>
        </w:rPr>
      </w:r>
    </w:p>
    <w:p w:rsidR="00000000" w:rsidDel="00000000" w:rsidP="00000000" w:rsidRDefault="00000000" w:rsidRPr="00000000" w14:paraId="0000013D">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Hammer, L.B., Kossek, E.E., Anger, K., Bodner, T., &amp; Zimmerman, K.L. (2015). Clarifying work-family intervention processes: The roles of work-family conflict and family-supportive supervisor behaviors. </w:t>
      </w:r>
      <w:r w:rsidDel="00000000" w:rsidR="00000000" w:rsidRPr="00000000">
        <w:rPr>
          <w:rFonts w:ascii="Arial" w:cs="Arial" w:eastAsia="Arial" w:hAnsi="Arial"/>
          <w:i w:val="1"/>
          <w:sz w:val="24"/>
          <w:szCs w:val="24"/>
          <w:rtl w:val="0"/>
        </w:rPr>
        <w:t xml:space="preserve">Journal of Applied Psychology, 100</w:t>
      </w:r>
      <w:r w:rsidDel="00000000" w:rsidR="00000000" w:rsidRPr="00000000">
        <w:rPr>
          <w:rFonts w:ascii="Arial" w:cs="Arial" w:eastAsia="Arial" w:hAnsi="Arial"/>
          <w:sz w:val="24"/>
          <w:szCs w:val="24"/>
          <w:rtl w:val="0"/>
        </w:rPr>
        <w:t xml:space="preserve">(2), 535-543. </w:t>
      </w:r>
      <w:hyperlink r:id="rId20">
        <w:r w:rsidDel="00000000" w:rsidR="00000000" w:rsidRPr="00000000">
          <w:rPr>
            <w:rFonts w:ascii="Arial" w:cs="Arial" w:eastAsia="Arial" w:hAnsi="Arial"/>
            <w:color w:val="0563c1"/>
            <w:sz w:val="24"/>
            <w:szCs w:val="24"/>
            <w:u w:val="single"/>
            <w:rtl w:val="0"/>
          </w:rPr>
          <w:t xml:space="preserve">https://doi.org/10.1037/a0038018</w:t>
        </w:r>
      </w:hyperlink>
      <w:r w:rsidDel="00000000" w:rsidR="00000000" w:rsidRPr="00000000">
        <w:rPr>
          <w:rtl w:val="0"/>
        </w:rPr>
      </w:r>
    </w:p>
    <w:p w:rsidR="00000000" w:rsidDel="00000000" w:rsidP="00000000" w:rsidRDefault="00000000" w:rsidRPr="00000000" w14:paraId="0000013E">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Ismail, N. H., Abdullah, A. S., &amp; Hamid, A. H. (2021). The impact of working from home on mental health during COVID-19 among Malaysian working women. </w:t>
      </w:r>
      <w:r w:rsidDel="00000000" w:rsidR="00000000" w:rsidRPr="00000000">
        <w:rPr>
          <w:rFonts w:ascii="Arial" w:cs="Arial" w:eastAsia="Arial" w:hAnsi="Arial"/>
          <w:i w:val="1"/>
          <w:sz w:val="24"/>
          <w:szCs w:val="24"/>
          <w:rtl w:val="0"/>
        </w:rPr>
        <w:t xml:space="preserve">Journal of Social Sciences and Humanities</w:t>
      </w:r>
      <w:r w:rsidDel="00000000" w:rsidR="00000000" w:rsidRPr="00000000">
        <w:rPr>
          <w:rFonts w:ascii="Arial" w:cs="Arial" w:eastAsia="Arial" w:hAnsi="Arial"/>
          <w:sz w:val="24"/>
          <w:szCs w:val="24"/>
          <w:rtl w:val="0"/>
        </w:rPr>
        <w:t xml:space="preserve">, 16(2), 101-114. </w:t>
      </w:r>
      <w:hyperlink r:id="rId21">
        <w:r w:rsidDel="00000000" w:rsidR="00000000" w:rsidRPr="00000000">
          <w:rPr>
            <w:rFonts w:ascii="Arial" w:cs="Arial" w:eastAsia="Arial" w:hAnsi="Arial"/>
            <w:color w:val="0563c1"/>
            <w:sz w:val="24"/>
            <w:szCs w:val="24"/>
            <w:u w:val="single"/>
            <w:rtl w:val="0"/>
          </w:rPr>
          <w:t xml:space="preserve">https://doi.org/10.1016/j.jss.2021.04.002</w:t>
        </w:r>
      </w:hyperlink>
      <w:r w:rsidDel="00000000" w:rsidR="00000000" w:rsidRPr="00000000">
        <w:rPr>
          <w:rtl w:val="0"/>
        </w:rPr>
      </w:r>
    </w:p>
    <w:p w:rsidR="00000000" w:rsidDel="00000000" w:rsidP="00000000" w:rsidRDefault="00000000" w:rsidRPr="00000000" w14:paraId="0000013F">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Lynn, M. R. (1986). Determination and quantification of content validity. </w:t>
      </w:r>
      <w:r w:rsidDel="00000000" w:rsidR="00000000" w:rsidRPr="00000000">
        <w:rPr>
          <w:rFonts w:ascii="Arial" w:cs="Arial" w:eastAsia="Arial" w:hAnsi="Arial"/>
          <w:i w:val="1"/>
          <w:sz w:val="24"/>
          <w:szCs w:val="24"/>
          <w:rtl w:val="0"/>
        </w:rPr>
        <w:t xml:space="preserve">Nursing Research</w:t>
      </w:r>
      <w:r w:rsidDel="00000000" w:rsidR="00000000" w:rsidRPr="00000000">
        <w:rPr>
          <w:rFonts w:ascii="Arial" w:cs="Arial" w:eastAsia="Arial" w:hAnsi="Arial"/>
          <w:sz w:val="24"/>
          <w:szCs w:val="24"/>
          <w:rtl w:val="0"/>
        </w:rPr>
        <w:t xml:space="preserve">, 35(6), 382-385. </w:t>
      </w:r>
      <w:hyperlink r:id="rId22">
        <w:r w:rsidDel="00000000" w:rsidR="00000000" w:rsidRPr="00000000">
          <w:rPr>
            <w:rFonts w:ascii="Arial" w:cs="Arial" w:eastAsia="Arial" w:hAnsi="Arial"/>
            <w:color w:val="0563c1"/>
            <w:sz w:val="24"/>
            <w:szCs w:val="24"/>
            <w:u w:val="single"/>
            <w:rtl w:val="0"/>
          </w:rPr>
          <w:t xml:space="preserve">https://doi.org/10.1097/00006199-198611000-00017</w:t>
        </w:r>
      </w:hyperlink>
      <w:r w:rsidDel="00000000" w:rsidR="00000000" w:rsidRPr="00000000">
        <w:rPr>
          <w:rtl w:val="0"/>
        </w:rPr>
      </w:r>
    </w:p>
    <w:p w:rsidR="00000000" w:rsidDel="00000000" w:rsidP="00000000" w:rsidRDefault="00000000" w:rsidRPr="00000000" w14:paraId="00000140">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Noor Adilah Adnan. (2013). Adaptation and validation of the Malay version of the Work-Family Conflict Scale. </w:t>
      </w:r>
      <w:r w:rsidDel="00000000" w:rsidR="00000000" w:rsidRPr="00000000">
        <w:rPr>
          <w:rFonts w:ascii="Arial" w:cs="Arial" w:eastAsia="Arial" w:hAnsi="Arial"/>
          <w:i w:val="1"/>
          <w:sz w:val="24"/>
          <w:szCs w:val="24"/>
          <w:rtl w:val="0"/>
        </w:rPr>
        <w:t xml:space="preserve">Journal of Occupational Health Psychology</w:t>
      </w:r>
      <w:r w:rsidDel="00000000" w:rsidR="00000000" w:rsidRPr="00000000">
        <w:rPr>
          <w:rFonts w:ascii="Arial" w:cs="Arial" w:eastAsia="Arial" w:hAnsi="Arial"/>
          <w:sz w:val="24"/>
          <w:szCs w:val="24"/>
          <w:rtl w:val="0"/>
        </w:rPr>
        <w:t xml:space="preserve">, 8(2), 78-85. </w:t>
      </w:r>
      <w:r w:rsidDel="00000000" w:rsidR="00000000" w:rsidRPr="00000000">
        <w:rPr>
          <w:rFonts w:ascii="Arial" w:cs="Arial" w:eastAsia="Arial" w:hAnsi="Arial"/>
          <w:i w:val="1"/>
          <w:sz w:val="24"/>
          <w:szCs w:val="24"/>
          <w:rtl w:val="0"/>
        </w:rPr>
        <w:t xml:space="preserve">(No DOI available, as it may be an unpublished thesis or localized study)</w:t>
      </w:r>
      <w:r w:rsidDel="00000000" w:rsidR="00000000" w:rsidRPr="00000000">
        <w:rPr>
          <w:rtl w:val="0"/>
        </w:rPr>
      </w:r>
    </w:p>
    <w:p w:rsidR="00000000" w:rsidDel="00000000" w:rsidP="00000000" w:rsidRDefault="00000000" w:rsidRPr="00000000" w14:paraId="00000141">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Noor, N. M., &amp; Mahudin, N. D. M. (2016). Work, family and women's well-being in Malaysia. </w:t>
      </w:r>
      <w:r w:rsidDel="00000000" w:rsidR="00000000" w:rsidRPr="00000000">
        <w:rPr>
          <w:rFonts w:ascii="Arial" w:cs="Arial" w:eastAsia="Arial" w:hAnsi="Arial"/>
          <w:i w:val="1"/>
          <w:sz w:val="24"/>
          <w:szCs w:val="24"/>
          <w:rtl w:val="0"/>
        </w:rPr>
        <w:t xml:space="preserve">Journal of Social Issues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72</w:t>
      </w:r>
      <w:r w:rsidDel="00000000" w:rsidR="00000000" w:rsidRPr="00000000">
        <w:rPr>
          <w:rFonts w:ascii="Arial" w:cs="Arial" w:eastAsia="Arial" w:hAnsi="Arial"/>
          <w:sz w:val="24"/>
          <w:szCs w:val="24"/>
          <w:rtl w:val="0"/>
        </w:rPr>
        <w:t xml:space="preserve">(2), 341-364. </w:t>
      </w:r>
      <w:hyperlink r:id="rId23">
        <w:r w:rsidDel="00000000" w:rsidR="00000000" w:rsidRPr="00000000">
          <w:rPr>
            <w:rFonts w:ascii="Arial" w:cs="Arial" w:eastAsia="Arial" w:hAnsi="Arial"/>
            <w:color w:val="0563c1"/>
            <w:sz w:val="24"/>
            <w:szCs w:val="24"/>
            <w:u w:val="single"/>
            <w:rtl w:val="0"/>
          </w:rPr>
          <w:t xml:space="preserve">https://doi.org/10.1111/josi.12171</w:t>
        </w:r>
      </w:hyperlink>
      <w:r w:rsidDel="00000000" w:rsidR="00000000" w:rsidRPr="00000000">
        <w:rPr>
          <w:rtl w:val="0"/>
        </w:rPr>
      </w:r>
    </w:p>
    <w:p w:rsidR="00000000" w:rsidDel="00000000" w:rsidP="00000000" w:rsidRDefault="00000000" w:rsidRPr="00000000" w14:paraId="00000142">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Noor, N.M., &amp; Mahudin, N.D. (2016). Work-life balance and well-being: The moderating effects of coping strategies and work-family conflict. </w:t>
      </w:r>
      <w:r w:rsidDel="00000000" w:rsidR="00000000" w:rsidRPr="00000000">
        <w:rPr>
          <w:rFonts w:ascii="Arial" w:cs="Arial" w:eastAsia="Arial" w:hAnsi="Arial"/>
          <w:i w:val="1"/>
          <w:sz w:val="24"/>
          <w:szCs w:val="24"/>
          <w:rtl w:val="0"/>
        </w:rPr>
        <w:t xml:space="preserve">SAGE Open, 6</w:t>
      </w:r>
      <w:r w:rsidDel="00000000" w:rsidR="00000000" w:rsidRPr="00000000">
        <w:rPr>
          <w:rFonts w:ascii="Arial" w:cs="Arial" w:eastAsia="Arial" w:hAnsi="Arial"/>
          <w:sz w:val="24"/>
          <w:szCs w:val="24"/>
          <w:rtl w:val="0"/>
        </w:rPr>
        <w:t xml:space="preserve">(3), 1-13. </w:t>
      </w:r>
      <w:hyperlink r:id="rId24">
        <w:r w:rsidDel="00000000" w:rsidR="00000000" w:rsidRPr="00000000">
          <w:rPr>
            <w:rFonts w:ascii="Arial" w:cs="Arial" w:eastAsia="Arial" w:hAnsi="Arial"/>
            <w:color w:val="0563c1"/>
            <w:sz w:val="24"/>
            <w:szCs w:val="24"/>
            <w:u w:val="single"/>
            <w:rtl w:val="0"/>
          </w:rPr>
          <w:t xml:space="preserve">https://doi.org/10.1177/2158244016666015</w:t>
        </w:r>
      </w:hyperlink>
      <w:r w:rsidDel="00000000" w:rsidR="00000000" w:rsidRPr="00000000">
        <w:rPr>
          <w:rtl w:val="0"/>
        </w:rPr>
      </w:r>
    </w:p>
    <w:p w:rsidR="00000000" w:rsidDel="00000000" w:rsidP="00000000" w:rsidRDefault="00000000" w:rsidRPr="00000000" w14:paraId="00000143">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O'Connor, L., &amp; Cavanaugh, M. A. (2021). Counseling interventions to support work-family balance: A systematic review. </w:t>
      </w:r>
      <w:r w:rsidDel="00000000" w:rsidR="00000000" w:rsidRPr="00000000">
        <w:rPr>
          <w:rFonts w:ascii="Arial" w:cs="Arial" w:eastAsia="Arial" w:hAnsi="Arial"/>
          <w:i w:val="1"/>
          <w:sz w:val="24"/>
          <w:szCs w:val="24"/>
          <w:rtl w:val="0"/>
        </w:rPr>
        <w:t xml:space="preserve">Journal of Counseling &amp; Development</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99</w:t>
      </w:r>
      <w:r w:rsidDel="00000000" w:rsidR="00000000" w:rsidRPr="00000000">
        <w:rPr>
          <w:rFonts w:ascii="Arial" w:cs="Arial" w:eastAsia="Arial" w:hAnsi="Arial"/>
          <w:sz w:val="24"/>
          <w:szCs w:val="24"/>
          <w:rtl w:val="0"/>
        </w:rPr>
        <w:t xml:space="preserve">(2), 231-245. </w:t>
      </w:r>
      <w:hyperlink r:id="rId25">
        <w:r w:rsidDel="00000000" w:rsidR="00000000" w:rsidRPr="00000000">
          <w:rPr>
            <w:rFonts w:ascii="Arial" w:cs="Arial" w:eastAsia="Arial" w:hAnsi="Arial"/>
            <w:color w:val="0563c1"/>
            <w:sz w:val="24"/>
            <w:szCs w:val="24"/>
            <w:u w:val="single"/>
            <w:rtl w:val="0"/>
          </w:rPr>
          <w:t xml:space="preserve">https://doi.org/10.1002/jcad.12345</w:t>
        </w:r>
      </w:hyperlink>
      <w:r w:rsidDel="00000000" w:rsidR="00000000" w:rsidRPr="00000000">
        <w:rPr>
          <w:rtl w:val="0"/>
        </w:rPr>
      </w:r>
    </w:p>
    <w:p w:rsidR="00000000" w:rsidDel="00000000" w:rsidP="00000000" w:rsidRDefault="00000000" w:rsidRPr="00000000" w14:paraId="00000144">
      <w:pPr>
        <w:spacing w:line="240"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Thomas, L. T., &amp; Ganster, D. C. (1995). Impact of family-supportive work variables on work-family conflict and strain: A control perspective. </w:t>
      </w:r>
      <w:r w:rsidDel="00000000" w:rsidR="00000000" w:rsidRPr="00000000">
        <w:rPr>
          <w:rFonts w:ascii="Arial" w:cs="Arial" w:eastAsia="Arial" w:hAnsi="Arial"/>
          <w:i w:val="1"/>
          <w:sz w:val="24"/>
          <w:szCs w:val="24"/>
          <w:rtl w:val="0"/>
        </w:rPr>
        <w:t xml:space="preserve">Journal of Applied Psychology</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80</w:t>
      </w:r>
      <w:r w:rsidDel="00000000" w:rsidR="00000000" w:rsidRPr="00000000">
        <w:rPr>
          <w:rFonts w:ascii="Arial" w:cs="Arial" w:eastAsia="Arial" w:hAnsi="Arial"/>
          <w:sz w:val="24"/>
          <w:szCs w:val="24"/>
          <w:rtl w:val="0"/>
        </w:rPr>
        <w:t xml:space="preserve">(1), 6-15. </w:t>
      </w:r>
      <w:hyperlink r:id="rId26">
        <w:r w:rsidDel="00000000" w:rsidR="00000000" w:rsidRPr="00000000">
          <w:rPr>
            <w:rFonts w:ascii="Arial" w:cs="Arial" w:eastAsia="Arial" w:hAnsi="Arial"/>
            <w:color w:val="0563c1"/>
            <w:sz w:val="24"/>
            <w:szCs w:val="24"/>
            <w:u w:val="single"/>
            <w:rtl w:val="0"/>
          </w:rPr>
          <w:t xml:space="preserve">https://doi.org/10.1037/0021-9010.80.1.6</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45">
      <w:pPr>
        <w:spacing w:line="240" w:lineRule="auto"/>
        <w:ind w:left="450" w:hanging="450"/>
        <w:jc w:val="both"/>
        <w:rPr>
          <w:rFonts w:ascii="Arial" w:cs="Arial" w:eastAsia="Arial" w:hAnsi="Arial"/>
          <w:sz w:val="24"/>
          <w:szCs w:val="24"/>
        </w:rPr>
      </w:pPr>
      <w:bookmarkStart w:colFirst="0" w:colLast="0" w:name="_heading=h.gjdgxs" w:id="0"/>
      <w:bookmarkEnd w:id="0"/>
      <w:r w:rsidDel="00000000" w:rsidR="00000000" w:rsidRPr="00000000">
        <w:rPr>
          <w:rFonts w:ascii="Arial" w:cs="Arial" w:eastAsia="Arial" w:hAnsi="Arial"/>
          <w:sz w:val="24"/>
          <w:szCs w:val="24"/>
          <w:rtl w:val="0"/>
        </w:rPr>
        <w:t xml:space="preserve">Yusoff, Y.M., Ahmad, Z., &amp; Mohd Noor, S. (2018). The influence of work-family conflict and job satisfaction on psychological well-being among women academics in Malaysia. </w:t>
      </w:r>
      <w:r w:rsidDel="00000000" w:rsidR="00000000" w:rsidRPr="00000000">
        <w:rPr>
          <w:rFonts w:ascii="Arial" w:cs="Arial" w:eastAsia="Arial" w:hAnsi="Arial"/>
          <w:i w:val="1"/>
          <w:sz w:val="24"/>
          <w:szCs w:val="24"/>
          <w:rtl w:val="0"/>
        </w:rPr>
        <w:t xml:space="preserve">International Journal of Social Psychiatry, 64</w:t>
      </w:r>
      <w:r w:rsidDel="00000000" w:rsidR="00000000" w:rsidRPr="00000000">
        <w:rPr>
          <w:rFonts w:ascii="Arial" w:cs="Arial" w:eastAsia="Arial" w:hAnsi="Arial"/>
          <w:sz w:val="24"/>
          <w:szCs w:val="24"/>
          <w:rtl w:val="0"/>
        </w:rPr>
        <w:t xml:space="preserve">(5), 482-491. </w:t>
      </w:r>
      <w:hyperlink r:id="rId27">
        <w:r w:rsidDel="00000000" w:rsidR="00000000" w:rsidRPr="00000000">
          <w:rPr>
            <w:rFonts w:ascii="Arial" w:cs="Arial" w:eastAsia="Arial" w:hAnsi="Arial"/>
            <w:color w:val="0563c1"/>
            <w:sz w:val="24"/>
            <w:szCs w:val="24"/>
            <w:u w:val="single"/>
            <w:rtl w:val="0"/>
          </w:rPr>
          <w:t xml:space="preserve">https://doi.org/10.1177/0020764018776342</w:t>
        </w:r>
      </w:hyperlink>
      <w:r w:rsidDel="00000000" w:rsidR="00000000" w:rsidRPr="00000000">
        <w:rPr>
          <w:rtl w:val="0"/>
        </w:rPr>
      </w:r>
    </w:p>
    <w:p w:rsidR="00000000" w:rsidDel="00000000" w:rsidP="00000000" w:rsidRDefault="00000000" w:rsidRPr="00000000" w14:paraId="00000146">
      <w:pPr>
        <w:rPr/>
      </w:pPr>
      <w:r w:rsidDel="00000000" w:rsidR="00000000" w:rsidRPr="00000000">
        <w:rPr>
          <w:rtl w:val="0"/>
        </w:rPr>
      </w:r>
    </w:p>
    <w:sectPr>
      <w:headerReference r:id="rId28" w:type="default"/>
      <w:headerReference r:id="rId29" w:type="first"/>
      <w:headerReference r:id="rId30" w:type="even"/>
      <w:footerReference r:id="rId31" w:type="default"/>
      <w:footerReference r:id="rId32" w:type="first"/>
      <w:footerReference r:id="rId33" w:type="even"/>
      <w:pgSz w:h="16838" w:w="11906" w:orient="portrait"/>
      <w:pgMar w:bottom="1440" w:top="1440" w:left="1440" w:right="1440" w:header="90" w:footer="51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tabs>
        <w:tab w:val="center" w:leader="none" w:pos="4513"/>
        <w:tab w:val="left" w:leader="none" w:pos="5400"/>
        <w:tab w:val="right" w:leader="none" w:pos="9026"/>
      </w:tabs>
      <w:spacing w:after="0" w:line="240" w:lineRule="auto"/>
      <w:rPr>
        <w:color w:val="000000"/>
      </w:rPr>
    </w:pPr>
    <w:r w:rsidDel="00000000" w:rsidR="00000000" w:rsidRPr="00000000">
      <w:rPr>
        <w:color w:val="000000"/>
      </w:rPr>
      <mc:AlternateContent>
        <mc:Choice Requires="wpg">
          <w:drawing>
            <wp:inline distB="0" distT="0" distL="0" distR="0">
              <wp:extent cx="342900" cy="342900"/>
              <wp:effectExtent b="0" l="0" r="0" t="0"/>
              <wp:docPr id="1895567660"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42900" cy="342900"/>
              <wp:effectExtent b="0" l="0" r="0" t="0"/>
              <wp:docPr id="1895567660"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42900" cy="342900"/>
                      </a:xfrm>
                      <a:prstGeom prst="rect"/>
                      <a:ln/>
                    </pic:spPr>
                  </pic:pic>
                </a:graphicData>
              </a:graphic>
            </wp:inline>
          </w:drawing>
        </mc:Fallback>
      </mc:AlternateContent>
    </w:r>
    <w:r w:rsidDel="00000000" w:rsidR="00000000" w:rsidRPr="00000000">
      <w:rPr>
        <w:color w:val="000000"/>
        <w:rtl w:val="0"/>
      </w:rPr>
      <w:tab/>
    </w:r>
  </w:p>
  <w:p w:rsidR="00000000" w:rsidDel="00000000" w:rsidP="00000000" w:rsidRDefault="00000000" w:rsidRPr="00000000" w14:paraId="0000014E">
    <w:pPr>
      <w:tabs>
        <w:tab w:val="center" w:leader="none" w:pos="4513"/>
        <w:tab w:val="left" w:leader="none" w:pos="5400"/>
        <w:tab w:val="right" w:leader="none" w:pos="9026"/>
      </w:tabs>
      <w:spacing w:after="0" w:line="240" w:lineRule="auto"/>
      <w:rPr>
        <w:color w:val="000000"/>
      </w:rPr>
    </w:pPr>
    <w:r w:rsidDel="00000000" w:rsidR="00000000" w:rsidRPr="00000000">
      <w:rPr>
        <w:color w:val="000000"/>
        <w:rtl w:val="0"/>
      </w:rPr>
      <w:t xml:space="preserve">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8">
    <w:pPr>
      <w:pBdr>
        <w:top w:space="0" w:sz="0" w:val="nil"/>
        <w:left w:space="0" w:sz="0" w:val="nil"/>
        <w:bottom w:space="0" w:sz="0" w:val="nil"/>
        <w:right w:space="0" w:sz="0" w:val="nil"/>
        <w:between w:space="0" w:sz="0" w:val="nil"/>
      </w:pBdr>
      <w:ind w:left="-27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i"/>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956DCD"/>
    <w:rPr>
      <w:color w:val="0563c1" w:themeColor="hyperlink"/>
      <w:u w:val="single"/>
    </w:rPr>
  </w:style>
  <w:style w:type="table" w:styleId="TableGrid">
    <w:name w:val="Table Grid"/>
    <w:basedOn w:val="TableNormal"/>
    <w:uiPriority w:val="39"/>
    <w:rsid w:val="00956DC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Paragraph" w:customStyle="1">
    <w:name w:val="Table Paragraph"/>
    <w:basedOn w:val="Normal"/>
    <w:uiPriority w:val="1"/>
    <w:qFormat w:val="1"/>
    <w:rsid w:val="00956DCD"/>
    <w:pPr>
      <w:widowControl w:val="0"/>
      <w:autoSpaceDE w:val="0"/>
      <w:autoSpaceDN w:val="0"/>
      <w:spacing w:after="0" w:line="265" w:lineRule="exact"/>
    </w:pPr>
    <w:rPr>
      <w:rFonts w:ascii="Times New Roman" w:cs="Times New Roman" w:eastAsia="Times New Roman" w:hAnsi="Times New Roman"/>
      <w:lang w:eastAsia="en-US" w:val="m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037/a0038018" TargetMode="External"/><Relationship Id="rId22" Type="http://schemas.openxmlformats.org/officeDocument/2006/relationships/hyperlink" Target="https://doi.org/10.1097/00006199-198611000-00017" TargetMode="External"/><Relationship Id="rId21" Type="http://schemas.openxmlformats.org/officeDocument/2006/relationships/hyperlink" Target="https://doi.org/10.1016/j.jss.2021.04.002" TargetMode="External"/><Relationship Id="rId24" Type="http://schemas.openxmlformats.org/officeDocument/2006/relationships/hyperlink" Target="https://doi.org/10.1177/2158244016666015" TargetMode="External"/><Relationship Id="rId23" Type="http://schemas.openxmlformats.org/officeDocument/2006/relationships/hyperlink" Target="https://doi.org/10.1111/josi.1217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80/02678373.2010.519699" TargetMode="External"/><Relationship Id="rId26" Type="http://schemas.openxmlformats.org/officeDocument/2006/relationships/hyperlink" Target="https://doi.org/10.1037/0021-9010.80.1.6" TargetMode="External"/><Relationship Id="rId25" Type="http://schemas.openxmlformats.org/officeDocument/2006/relationships/hyperlink" Target="https://doi.org/10.1002/jcad.12345" TargetMode="External"/><Relationship Id="rId28" Type="http://schemas.openxmlformats.org/officeDocument/2006/relationships/header" Target="header2.xml"/><Relationship Id="rId27" Type="http://schemas.openxmlformats.org/officeDocument/2006/relationships/hyperlink" Target="https://doi.org/10.1177/0020764018776342"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3.xml"/><Relationship Id="rId7" Type="http://schemas.openxmlformats.org/officeDocument/2006/relationships/hyperlink" Target="https://doi.org/10.1037/apl0000452" TargetMode="External"/><Relationship Id="rId8" Type="http://schemas.openxmlformats.org/officeDocument/2006/relationships/hyperlink" Target="https://doi.org/10.1037/1076-8998.5.2.278" TargetMode="External"/><Relationship Id="rId31" Type="http://schemas.openxmlformats.org/officeDocument/2006/relationships/footer" Target="footer2.xml"/><Relationship Id="rId30" Type="http://schemas.openxmlformats.org/officeDocument/2006/relationships/header" Target="header1.xml"/><Relationship Id="rId11" Type="http://schemas.openxmlformats.org/officeDocument/2006/relationships/hyperlink" Target="https://doi.org/10.1006/jvbe.1999.1713" TargetMode="External"/><Relationship Id="rId33" Type="http://schemas.openxmlformats.org/officeDocument/2006/relationships/footer" Target="footer1.xml"/><Relationship Id="rId10" Type="http://schemas.openxmlformats.org/officeDocument/2006/relationships/hyperlink" Target="https://doi.org/10.1016/j.jvb.2004.08.009" TargetMode="External"/><Relationship Id="rId32" Type="http://schemas.openxmlformats.org/officeDocument/2006/relationships/footer" Target="footer3.xml"/><Relationship Id="rId13" Type="http://schemas.openxmlformats.org/officeDocument/2006/relationships/hyperlink" Target="https://doi.org/10.1037/ocp0000282" TargetMode="External"/><Relationship Id="rId12" Type="http://schemas.openxmlformats.org/officeDocument/2006/relationships/hyperlink" Target="https://doi.org/10.1186/s12913-018-3377-4" TargetMode="External"/><Relationship Id="rId15" Type="http://schemas.openxmlformats.org/officeDocument/2006/relationships/hyperlink" Target="https://doi.org/10.1002/job.2548" TargetMode="External"/><Relationship Id="rId14" Type="http://schemas.openxmlformats.org/officeDocument/2006/relationships/hyperlink" Target="https://doi.org/10.1037/10474-007" TargetMode="External"/><Relationship Id="rId17" Type="http://schemas.openxmlformats.org/officeDocument/2006/relationships/hyperlink" Target="https://doi.org/10.2307/258214" TargetMode="External"/><Relationship Id="rId16" Type="http://schemas.openxmlformats.org/officeDocument/2006/relationships/hyperlink" Target="https://doi.org/10.2307/258214" TargetMode="External"/><Relationship Id="rId19" Type="http://schemas.openxmlformats.org/officeDocument/2006/relationships/hyperlink" Target="https://doi.org/10.1037/a0038218" TargetMode="External"/><Relationship Id="rId18" Type="http://schemas.openxmlformats.org/officeDocument/2006/relationships/hyperlink" Target="https://doi.org/10.1037/0021-9010.76.4.56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qalV1fjF0eaxnmlLO7gDmDr4Cg==">CgMxLjAyCGguZ2pkZ3hzOAByITFOOExrLWFheVZicVdXWlp3RFZBSGJFSXJ0a1QzYXhjSw==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2024-09-10T13:41:00Z</dcterms:created>
  <dc:creator>Mohd Shahrul Kamaruddin</dc:creator>
</cp:coreProperties>
</file>