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EB983" w14:textId="77777777" w:rsidR="00630D73" w:rsidRPr="001769DF" w:rsidRDefault="00630D73" w:rsidP="00630D73">
      <w:pPr>
        <w:spacing w:after="0" w:line="240" w:lineRule="auto"/>
        <w:jc w:val="center"/>
        <w:rPr>
          <w:rFonts w:ascii="Tahoma" w:hAnsi="Tahoma" w:cs="Tahoma"/>
          <w:b/>
          <w:bCs/>
          <w:lang w:val="ms-MY"/>
        </w:rPr>
      </w:pPr>
      <w:r w:rsidRPr="001769DF">
        <w:rPr>
          <w:rFonts w:ascii="Tahoma" w:hAnsi="Tahoma" w:cs="Tahoma"/>
          <w:b/>
          <w:bCs/>
          <w:lang w:val="ms-MY"/>
        </w:rPr>
        <w:t>HUBUNGAN ANTARA MOTIVASI UNTUK BERUBAH DENGAN KECENDERUNGAN UNTUK RELAPS DALAM KALANGAN PENGHUNI PUSAT RAWATAN DADAH</w:t>
      </w:r>
    </w:p>
    <w:p w14:paraId="2F3FB60D" w14:textId="77777777" w:rsidR="00630D73" w:rsidRPr="001769DF" w:rsidRDefault="00630D73" w:rsidP="00630D73">
      <w:pPr>
        <w:spacing w:after="0" w:line="240" w:lineRule="auto"/>
        <w:jc w:val="center"/>
        <w:rPr>
          <w:rFonts w:ascii="Tahoma" w:hAnsi="Tahoma" w:cs="Tahoma"/>
          <w:b/>
          <w:bCs/>
          <w:lang w:val="ms-MY"/>
        </w:rPr>
      </w:pPr>
    </w:p>
    <w:p w14:paraId="3A37D3EF" w14:textId="77777777" w:rsidR="00630D73" w:rsidRPr="001769DF" w:rsidRDefault="00630D73" w:rsidP="00630D73">
      <w:pPr>
        <w:spacing w:after="0" w:line="240" w:lineRule="auto"/>
        <w:jc w:val="both"/>
        <w:rPr>
          <w:rFonts w:ascii="Tahoma" w:hAnsi="Tahoma" w:cs="Tahoma"/>
          <w:b/>
          <w:bCs/>
          <w:lang w:val="ms-MY"/>
        </w:rPr>
      </w:pPr>
    </w:p>
    <w:p w14:paraId="0ACA4F0B" w14:textId="77777777" w:rsidR="00630D73" w:rsidRPr="00F07280" w:rsidRDefault="00630D73" w:rsidP="00630D73">
      <w:pPr>
        <w:spacing w:after="0" w:line="240" w:lineRule="auto"/>
        <w:jc w:val="center"/>
        <w:rPr>
          <w:rFonts w:ascii="Tahoma" w:hAnsi="Tahoma" w:cs="Tahoma"/>
          <w:vertAlign w:val="superscript"/>
          <w:lang w:val="ms-MY"/>
        </w:rPr>
      </w:pPr>
      <w:r w:rsidRPr="001769DF">
        <w:rPr>
          <w:rFonts w:ascii="Tahoma" w:hAnsi="Tahoma" w:cs="Tahoma"/>
          <w:lang w:val="ms-MY"/>
        </w:rPr>
        <w:t>Kamaliah Md Yusof@Md</w:t>
      </w:r>
      <w:r>
        <w:rPr>
          <w:rFonts w:ascii="Tahoma" w:hAnsi="Tahoma" w:cs="Tahoma"/>
          <w:lang w:val="ms-MY"/>
        </w:rPr>
        <w:t xml:space="preserve"> </w:t>
      </w:r>
      <w:r w:rsidRPr="001769DF">
        <w:rPr>
          <w:rFonts w:ascii="Tahoma" w:hAnsi="Tahoma" w:cs="Tahoma"/>
          <w:lang w:val="ms-MY"/>
        </w:rPr>
        <w:t>Yusop</w:t>
      </w:r>
      <w:r w:rsidRPr="00F07280">
        <w:rPr>
          <w:rFonts w:ascii="Tahoma" w:hAnsi="Tahoma" w:cs="Tahoma"/>
          <w:vertAlign w:val="superscript"/>
          <w:lang w:val="ms-MY"/>
        </w:rPr>
        <w:t>1</w:t>
      </w:r>
      <w:r>
        <w:rPr>
          <w:rFonts w:ascii="Tahoma" w:hAnsi="Tahoma" w:cs="Tahoma"/>
          <w:lang w:val="ms-MY"/>
        </w:rPr>
        <w:t>, Norafifah Bali</w:t>
      </w:r>
      <w:r w:rsidRPr="00F07280">
        <w:rPr>
          <w:rFonts w:ascii="Tahoma" w:hAnsi="Tahoma" w:cs="Tahoma"/>
          <w:vertAlign w:val="superscript"/>
          <w:lang w:val="ms-MY"/>
        </w:rPr>
        <w:t>2</w:t>
      </w:r>
      <w:r>
        <w:rPr>
          <w:rFonts w:ascii="Tahoma" w:hAnsi="Tahoma" w:cs="Tahoma"/>
          <w:lang w:val="ms-MY"/>
        </w:rPr>
        <w:t>, Azahar Che Latiff</w:t>
      </w:r>
      <w:r w:rsidRPr="00F07280">
        <w:rPr>
          <w:rFonts w:ascii="Tahoma" w:hAnsi="Tahoma" w:cs="Tahoma"/>
          <w:vertAlign w:val="superscript"/>
          <w:lang w:val="ms-MY"/>
        </w:rPr>
        <w:t>3</w:t>
      </w:r>
    </w:p>
    <w:p w14:paraId="0E471CF6" w14:textId="77777777" w:rsidR="00630D73" w:rsidRPr="001769DF" w:rsidRDefault="00630D73" w:rsidP="00630D73">
      <w:pPr>
        <w:rPr>
          <w:rFonts w:ascii="Tahoma" w:hAnsi="Tahoma" w:cs="Tahoma"/>
          <w:lang w:val="ms-MY"/>
        </w:rPr>
      </w:pPr>
    </w:p>
    <w:p w14:paraId="592EB32D" w14:textId="77777777" w:rsidR="00630D73" w:rsidRPr="001769DF" w:rsidRDefault="00630D73" w:rsidP="00630D73">
      <w:pPr>
        <w:spacing w:after="0" w:line="240" w:lineRule="auto"/>
        <w:jc w:val="center"/>
        <w:rPr>
          <w:rFonts w:ascii="Tahoma" w:hAnsi="Tahoma" w:cs="Tahoma"/>
          <w:lang w:val="ms-MY"/>
        </w:rPr>
      </w:pPr>
      <w:r w:rsidRPr="001769DF">
        <w:rPr>
          <w:rFonts w:ascii="Tahoma" w:hAnsi="Tahoma" w:cs="Tahoma"/>
          <w:lang w:val="ms-MY"/>
        </w:rPr>
        <w:t>Fakulti Psikologi Dan Kerja Sosial</w:t>
      </w:r>
    </w:p>
    <w:p w14:paraId="6F9CACD2" w14:textId="77777777" w:rsidR="00630D73" w:rsidRDefault="00630D73" w:rsidP="00630D73">
      <w:pPr>
        <w:spacing w:after="0" w:line="240" w:lineRule="auto"/>
        <w:jc w:val="center"/>
        <w:rPr>
          <w:rFonts w:ascii="Tahoma" w:hAnsi="Tahoma" w:cs="Tahoma"/>
          <w:lang w:val="ms-MY"/>
        </w:rPr>
      </w:pPr>
      <w:r w:rsidRPr="001769DF">
        <w:rPr>
          <w:rFonts w:ascii="Tahoma" w:hAnsi="Tahoma" w:cs="Tahoma"/>
          <w:lang w:val="ms-MY"/>
        </w:rPr>
        <w:t>Universiti Malaysia Sabah</w:t>
      </w:r>
    </w:p>
    <w:p w14:paraId="689EEE92" w14:textId="77777777" w:rsidR="00630D73" w:rsidRDefault="00630D73" w:rsidP="00630D73">
      <w:pPr>
        <w:spacing w:after="0" w:line="240" w:lineRule="auto"/>
        <w:jc w:val="center"/>
        <w:rPr>
          <w:rFonts w:ascii="Tahoma" w:hAnsi="Tahoma" w:cs="Tahoma"/>
          <w:lang w:val="ms-MY"/>
        </w:rPr>
      </w:pPr>
      <w:r>
        <w:rPr>
          <w:rFonts w:ascii="Tahoma" w:hAnsi="Tahoma" w:cs="Tahoma"/>
          <w:lang w:val="ms-MY"/>
        </w:rPr>
        <w:t>2025</w:t>
      </w:r>
    </w:p>
    <w:p w14:paraId="343341AA" w14:textId="77777777" w:rsidR="00630D73" w:rsidRDefault="00630D73" w:rsidP="00630D73">
      <w:pPr>
        <w:spacing w:after="0" w:line="240" w:lineRule="auto"/>
        <w:jc w:val="center"/>
        <w:rPr>
          <w:rFonts w:ascii="Tahoma" w:hAnsi="Tahoma" w:cs="Tahoma"/>
          <w:lang w:val="ms-MY"/>
        </w:rPr>
      </w:pPr>
    </w:p>
    <w:p w14:paraId="2D6ADC71" w14:textId="77777777" w:rsidR="00630D73" w:rsidRDefault="00630D73" w:rsidP="00630D73">
      <w:pPr>
        <w:spacing w:line="240" w:lineRule="auto"/>
        <w:jc w:val="both"/>
        <w:rPr>
          <w:rFonts w:ascii="Tahoma" w:hAnsi="Tahoma" w:cs="Tahoma"/>
          <w:b/>
          <w:bCs/>
          <w:lang w:val="ms-MY"/>
        </w:rPr>
      </w:pPr>
    </w:p>
    <w:p w14:paraId="7797B20A" w14:textId="77777777" w:rsidR="00630D73" w:rsidRPr="005A695B" w:rsidRDefault="00630D73" w:rsidP="00630D73">
      <w:pPr>
        <w:spacing w:line="240" w:lineRule="auto"/>
        <w:jc w:val="center"/>
        <w:rPr>
          <w:rFonts w:ascii="Tahoma" w:hAnsi="Tahoma" w:cs="Tahoma"/>
          <w:b/>
          <w:bCs/>
          <w:lang w:val="ms-MY"/>
        </w:rPr>
      </w:pPr>
      <w:r w:rsidRPr="005A695B">
        <w:rPr>
          <w:rFonts w:ascii="Tahoma" w:hAnsi="Tahoma" w:cs="Tahoma"/>
          <w:b/>
          <w:bCs/>
          <w:lang w:val="ms-MY"/>
        </w:rPr>
        <w:t>ABSTRAK</w:t>
      </w:r>
    </w:p>
    <w:p w14:paraId="1196256B" w14:textId="77777777" w:rsidR="00630D73" w:rsidRPr="005A695B" w:rsidRDefault="00630D73" w:rsidP="00630D73">
      <w:pPr>
        <w:spacing w:line="240" w:lineRule="auto"/>
        <w:jc w:val="both"/>
        <w:rPr>
          <w:rFonts w:ascii="Tahoma" w:hAnsi="Tahoma" w:cs="Tahoma"/>
          <w:lang w:val="ms-MY"/>
        </w:rPr>
      </w:pPr>
      <w:r w:rsidRPr="005A695B">
        <w:rPr>
          <w:rFonts w:ascii="Tahoma" w:hAnsi="Tahoma" w:cs="Tahoma"/>
          <w:lang w:val="ms-MY"/>
        </w:rPr>
        <w:t xml:space="preserve">Isu relaps kekal sebagai cabaran utama dalam proses pemulihan penagihan dadah. Statistik terkini menunjukkan bahawa lebih 20% penagih yang telah menamatkan program rawatan mengalami relaps dalam tempoh dua tahun. Kajian ini dijalankan untuk mengenal pasti hubungan antara tahap motivasi untuk berubah dengan kecenderungan untuk relaps dalam kalangan penghuni pusat rawatan dadah. Seramai 161 responden telah dipilih secara rawak berdasarkan jadual Krejcie dan Morgan (1970). Dua instrumen digunakan iaitu </w:t>
      </w:r>
      <w:r w:rsidRPr="005A695B">
        <w:rPr>
          <w:rFonts w:ascii="Tahoma" w:hAnsi="Tahoma" w:cs="Tahoma"/>
          <w:i/>
          <w:iCs/>
          <w:lang w:val="ms-MY"/>
        </w:rPr>
        <w:t>Stages of Change Readiness and Treatment Eagerness Scale (SOCRATES)</w:t>
      </w:r>
      <w:r w:rsidRPr="005A695B">
        <w:rPr>
          <w:rFonts w:ascii="Tahoma" w:hAnsi="Tahoma" w:cs="Tahoma"/>
          <w:lang w:val="ms-MY"/>
        </w:rPr>
        <w:t xml:space="preserve"> untuk mengukur motivasi berubah dan </w:t>
      </w:r>
      <w:r w:rsidRPr="005A695B">
        <w:rPr>
          <w:rFonts w:ascii="Tahoma" w:hAnsi="Tahoma" w:cs="Tahoma"/>
          <w:i/>
          <w:iCs/>
          <w:lang w:val="ms-MY"/>
        </w:rPr>
        <w:t>Drug Abuse Screening Test (DAST-10)</w:t>
      </w:r>
      <w:r w:rsidRPr="005A695B">
        <w:rPr>
          <w:rFonts w:ascii="Tahoma" w:hAnsi="Tahoma" w:cs="Tahoma"/>
          <w:lang w:val="ms-MY"/>
        </w:rPr>
        <w:t xml:space="preserve"> untuk mengukur kecenderungan relaps. Hasil analisis Spearman’s rho menunjukkan terdapat hubungan negatif yang signifikan antara motivasi berubah dan kecenderungan relaps (rs = –0.269, p &lt; .001). Terdapat juga hubungan signifikan antara umur dengan motivasi berubah (rs = –0.215, p = .006), manakala tempoh penglibatan dalam penagihan tidak menunjukkan hubungan yang signifikan (rs = .148, p = .060). Dapatan ini diharapkan dapat membantu dalam merangka intervensi rawatan yang lebih berfokus bagi menyokong proses kepulihan penagih dadah secara berkesan.</w:t>
      </w:r>
    </w:p>
    <w:p w14:paraId="4826300B" w14:textId="77777777" w:rsidR="00630D73" w:rsidRPr="005A695B" w:rsidRDefault="00630D73" w:rsidP="00630D73">
      <w:pPr>
        <w:spacing w:line="240" w:lineRule="auto"/>
        <w:jc w:val="both"/>
        <w:rPr>
          <w:rFonts w:ascii="Tahoma" w:hAnsi="Tahoma" w:cs="Tahoma"/>
          <w:lang w:val="ms-MY"/>
        </w:rPr>
      </w:pPr>
      <w:r w:rsidRPr="005A695B">
        <w:rPr>
          <w:rFonts w:ascii="Tahoma" w:hAnsi="Tahoma" w:cs="Tahoma"/>
          <w:b/>
          <w:bCs/>
          <w:lang w:val="ms-MY"/>
        </w:rPr>
        <w:t>Kata kunci</w:t>
      </w:r>
      <w:r w:rsidRPr="005A695B">
        <w:rPr>
          <w:rFonts w:ascii="Tahoma" w:hAnsi="Tahoma" w:cs="Tahoma"/>
          <w:lang w:val="ms-MY"/>
        </w:rPr>
        <w:t xml:space="preserve">: </w:t>
      </w:r>
      <w:r w:rsidRPr="005A695B">
        <w:rPr>
          <w:rFonts w:ascii="Tahoma" w:hAnsi="Tahoma" w:cs="Tahoma"/>
          <w:i/>
          <w:iCs/>
          <w:lang w:val="ms-MY"/>
        </w:rPr>
        <w:t>motivasi berubah, relaps, pusat rawatan dadah, penagih dadah, pemulihan</w:t>
      </w:r>
    </w:p>
    <w:p w14:paraId="7C0DFC58" w14:textId="77777777" w:rsidR="00630D73" w:rsidRPr="005A695B" w:rsidRDefault="00630D73" w:rsidP="00630D73">
      <w:pPr>
        <w:jc w:val="both"/>
        <w:rPr>
          <w:rFonts w:ascii="Tahoma" w:hAnsi="Tahoma" w:cs="Tahoma"/>
        </w:rPr>
      </w:pPr>
    </w:p>
    <w:p w14:paraId="3F96C0D1" w14:textId="77777777" w:rsidR="00630D73" w:rsidRPr="005A695B" w:rsidRDefault="00630D73" w:rsidP="00630D73">
      <w:pPr>
        <w:jc w:val="both"/>
        <w:rPr>
          <w:rFonts w:ascii="Tahoma" w:hAnsi="Tahoma" w:cs="Tahoma"/>
        </w:rPr>
      </w:pPr>
    </w:p>
    <w:p w14:paraId="156FEDB7" w14:textId="77777777" w:rsidR="00630D73" w:rsidRPr="005A695B" w:rsidRDefault="00630D73" w:rsidP="00630D73">
      <w:pPr>
        <w:jc w:val="both"/>
        <w:rPr>
          <w:rFonts w:ascii="Tahoma" w:hAnsi="Tahoma" w:cs="Tahoma"/>
        </w:rPr>
      </w:pPr>
    </w:p>
    <w:p w14:paraId="01FF4C84" w14:textId="77777777" w:rsidR="00630D73" w:rsidRPr="005A695B" w:rsidRDefault="00630D73" w:rsidP="00630D73">
      <w:pPr>
        <w:jc w:val="both"/>
        <w:rPr>
          <w:rFonts w:ascii="Tahoma" w:hAnsi="Tahoma" w:cs="Tahoma"/>
        </w:rPr>
      </w:pPr>
    </w:p>
    <w:p w14:paraId="3A271EEC" w14:textId="77777777" w:rsidR="00630D73" w:rsidRPr="005A695B" w:rsidRDefault="00630D73" w:rsidP="00630D73">
      <w:pPr>
        <w:jc w:val="both"/>
        <w:rPr>
          <w:rFonts w:ascii="Tahoma" w:hAnsi="Tahoma" w:cs="Tahoma"/>
        </w:rPr>
      </w:pPr>
    </w:p>
    <w:p w14:paraId="09DA1BB5" w14:textId="77777777" w:rsidR="00630D73" w:rsidRPr="005A695B" w:rsidRDefault="00630D73" w:rsidP="00630D73">
      <w:pPr>
        <w:jc w:val="both"/>
        <w:rPr>
          <w:rFonts w:ascii="Tahoma" w:hAnsi="Tahoma" w:cs="Tahoma"/>
        </w:rPr>
      </w:pPr>
    </w:p>
    <w:p w14:paraId="0F659C50" w14:textId="77777777" w:rsidR="00630D73" w:rsidRPr="005A695B" w:rsidRDefault="00630D73" w:rsidP="00630D73">
      <w:pPr>
        <w:jc w:val="both"/>
        <w:rPr>
          <w:rFonts w:ascii="Tahoma" w:hAnsi="Tahoma" w:cs="Tahoma"/>
        </w:rPr>
      </w:pPr>
    </w:p>
    <w:p w14:paraId="482A6D52" w14:textId="77777777" w:rsidR="00630D73" w:rsidRPr="005A695B" w:rsidRDefault="00630D73" w:rsidP="00630D73">
      <w:pPr>
        <w:jc w:val="both"/>
        <w:rPr>
          <w:rFonts w:ascii="Tahoma" w:hAnsi="Tahoma" w:cs="Tahoma"/>
        </w:rPr>
      </w:pPr>
    </w:p>
    <w:p w14:paraId="1EB0CED7" w14:textId="77777777" w:rsidR="00630D73" w:rsidRPr="005A695B" w:rsidRDefault="00630D73" w:rsidP="00630D73">
      <w:pPr>
        <w:jc w:val="both"/>
        <w:rPr>
          <w:rFonts w:ascii="Tahoma" w:hAnsi="Tahoma" w:cs="Tahoma"/>
        </w:rPr>
      </w:pPr>
    </w:p>
    <w:p w14:paraId="7FFBBEBB" w14:textId="77777777" w:rsidR="00630D73" w:rsidRPr="005A695B" w:rsidRDefault="00630D73" w:rsidP="00630D73">
      <w:pPr>
        <w:jc w:val="both"/>
        <w:rPr>
          <w:rFonts w:ascii="Tahoma" w:hAnsi="Tahoma" w:cs="Tahoma"/>
        </w:rPr>
      </w:pPr>
    </w:p>
    <w:p w14:paraId="77D107B6" w14:textId="77777777" w:rsidR="00630D73" w:rsidRPr="005A695B" w:rsidRDefault="00630D73" w:rsidP="00630D73">
      <w:pPr>
        <w:jc w:val="both"/>
        <w:rPr>
          <w:rFonts w:ascii="Tahoma" w:hAnsi="Tahoma" w:cs="Tahoma"/>
        </w:rPr>
      </w:pPr>
    </w:p>
    <w:p w14:paraId="2921D405" w14:textId="77777777" w:rsidR="00630D73" w:rsidRPr="005A695B" w:rsidRDefault="00630D73" w:rsidP="00630D73">
      <w:pPr>
        <w:jc w:val="both"/>
        <w:rPr>
          <w:rFonts w:ascii="Tahoma" w:hAnsi="Tahoma" w:cs="Tahoma"/>
        </w:rPr>
      </w:pPr>
    </w:p>
    <w:p w14:paraId="11CF83E2" w14:textId="77777777" w:rsidR="00630D73" w:rsidRDefault="00630D73" w:rsidP="00630D73">
      <w:pPr>
        <w:spacing w:line="360" w:lineRule="auto"/>
        <w:jc w:val="both"/>
        <w:rPr>
          <w:rFonts w:ascii="Tahoma" w:hAnsi="Tahoma" w:cs="Tahoma"/>
        </w:rPr>
      </w:pPr>
    </w:p>
    <w:p w14:paraId="61033431" w14:textId="77777777" w:rsidR="00630D73" w:rsidRPr="005A695B" w:rsidRDefault="00630D73" w:rsidP="00630D73">
      <w:pPr>
        <w:spacing w:line="360" w:lineRule="auto"/>
        <w:jc w:val="center"/>
        <w:rPr>
          <w:rFonts w:ascii="Tahoma" w:hAnsi="Tahoma" w:cs="Tahoma"/>
          <w:b/>
          <w:bCs/>
          <w:i/>
          <w:iCs/>
        </w:rPr>
      </w:pPr>
      <w:r w:rsidRPr="005A695B">
        <w:rPr>
          <w:rFonts w:ascii="Tahoma" w:hAnsi="Tahoma" w:cs="Tahoma"/>
          <w:b/>
          <w:bCs/>
          <w:i/>
          <w:iCs/>
        </w:rPr>
        <w:lastRenderedPageBreak/>
        <w:t>ABSTRACT</w:t>
      </w:r>
    </w:p>
    <w:p w14:paraId="52F61364" w14:textId="77777777" w:rsidR="00630D73" w:rsidRPr="005A695B" w:rsidRDefault="00630D73" w:rsidP="00630D73">
      <w:pPr>
        <w:spacing w:line="240" w:lineRule="auto"/>
        <w:jc w:val="both"/>
        <w:rPr>
          <w:rFonts w:ascii="Tahoma" w:hAnsi="Tahoma" w:cs="Tahoma"/>
          <w:i/>
          <w:iCs/>
        </w:rPr>
      </w:pPr>
      <w:r w:rsidRPr="005A695B">
        <w:rPr>
          <w:rFonts w:ascii="Tahoma" w:hAnsi="Tahoma" w:cs="Tahoma"/>
          <w:i/>
          <w:iCs/>
        </w:rPr>
        <w:t>Relapse remains one of the major challenges in the addiction recovery process. Recent statistics show that over 20% of individuals who have completed drug treatment programs relapse within two years. This study aims to examine the relationship between the level of motivation to change and the tendency to relapse among residents of drug rehabilitation centers. A total of 161 respondents were randomly selected based on Krejcie and Morgan’s (1970) sampling table. Two instruments were used: the Stages of Change Readiness and Treatment Eagerness Scale (SOCRATES) to assess motivation for change, and the Drug Abuse Screening Test (DAST-10) to measure relapse tendency. Spearman’s rho analysis revealed a significant negative relationship between motivation to change and relapse tendency (rs = –0.269, p &lt; .001). A significant relationship was also found between age and motivation to change (rs = –0.215, p = .006), while duration of drug involvement did not show a significant relationship (rs = .148, p = .060). These findings are expected to contribute to the development of more targeted intervention strategies to effectively support the recovery process of drug addicts.</w:t>
      </w:r>
    </w:p>
    <w:p w14:paraId="4552CA21" w14:textId="77777777" w:rsidR="00630D73" w:rsidRPr="005A695B" w:rsidRDefault="00630D73" w:rsidP="00630D73">
      <w:pPr>
        <w:spacing w:line="240" w:lineRule="auto"/>
        <w:jc w:val="both"/>
        <w:rPr>
          <w:rFonts w:ascii="Tahoma" w:hAnsi="Tahoma" w:cs="Tahoma"/>
          <w:i/>
          <w:iCs/>
        </w:rPr>
      </w:pPr>
      <w:r w:rsidRPr="005A695B">
        <w:rPr>
          <w:rFonts w:ascii="Tahoma" w:hAnsi="Tahoma" w:cs="Tahoma"/>
          <w:b/>
          <w:bCs/>
          <w:i/>
          <w:iCs/>
        </w:rPr>
        <w:t>Keywords</w:t>
      </w:r>
      <w:r w:rsidRPr="005A695B">
        <w:rPr>
          <w:rFonts w:ascii="Tahoma" w:hAnsi="Tahoma" w:cs="Tahoma"/>
          <w:i/>
          <w:iCs/>
        </w:rPr>
        <w:t>: motivation to change, relapse, drug rehabilitation center, drug addict, recovery</w:t>
      </w:r>
    </w:p>
    <w:p w14:paraId="266FFC79" w14:textId="77777777" w:rsidR="00A3017C" w:rsidRDefault="00A3017C"/>
    <w:sectPr w:rsidR="00A301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73"/>
    <w:rsid w:val="002F2973"/>
    <w:rsid w:val="003D4200"/>
    <w:rsid w:val="004D1CAF"/>
    <w:rsid w:val="00630D73"/>
    <w:rsid w:val="00A3017C"/>
    <w:rsid w:val="00A95779"/>
    <w:rsid w:val="00AF6D8E"/>
    <w:rsid w:val="00E2051B"/>
    <w:rsid w:val="00E477DF"/>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0B6F"/>
  <w15:chartTrackingRefBased/>
  <w15:docId w15:val="{43479EE4-0FC5-4220-A51F-D44191AC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D73"/>
    <w:pPr>
      <w:spacing w:line="259" w:lineRule="auto"/>
    </w:pPr>
    <w:rPr>
      <w:rFonts w:eastAsiaTheme="minorHAnsi"/>
      <w:sz w:val="22"/>
      <w:szCs w:val="22"/>
      <w:lang w:eastAsia="en-US"/>
    </w:rPr>
  </w:style>
  <w:style w:type="paragraph" w:styleId="Heading1">
    <w:name w:val="heading 1"/>
    <w:basedOn w:val="Normal"/>
    <w:next w:val="Normal"/>
    <w:link w:val="Heading1Char"/>
    <w:uiPriority w:val="9"/>
    <w:qFormat/>
    <w:rsid w:val="00630D7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zh-CN"/>
    </w:rPr>
  </w:style>
  <w:style w:type="paragraph" w:styleId="Heading2">
    <w:name w:val="heading 2"/>
    <w:basedOn w:val="Normal"/>
    <w:next w:val="Normal"/>
    <w:link w:val="Heading2Char"/>
    <w:uiPriority w:val="9"/>
    <w:semiHidden/>
    <w:unhideWhenUsed/>
    <w:qFormat/>
    <w:rsid w:val="00630D7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zh-CN"/>
    </w:rPr>
  </w:style>
  <w:style w:type="paragraph" w:styleId="Heading3">
    <w:name w:val="heading 3"/>
    <w:basedOn w:val="Normal"/>
    <w:next w:val="Normal"/>
    <w:link w:val="Heading3Char"/>
    <w:uiPriority w:val="9"/>
    <w:semiHidden/>
    <w:unhideWhenUsed/>
    <w:qFormat/>
    <w:rsid w:val="00630D73"/>
    <w:pPr>
      <w:keepNext/>
      <w:keepLines/>
      <w:spacing w:before="160" w:after="80" w:line="278" w:lineRule="auto"/>
      <w:outlineLvl w:val="2"/>
    </w:pPr>
    <w:rPr>
      <w:rFonts w:eastAsiaTheme="majorEastAsia" w:cstheme="majorBidi"/>
      <w:color w:val="0F4761" w:themeColor="accent1" w:themeShade="BF"/>
      <w:sz w:val="28"/>
      <w:szCs w:val="28"/>
      <w:lang w:eastAsia="zh-CN"/>
    </w:rPr>
  </w:style>
  <w:style w:type="paragraph" w:styleId="Heading4">
    <w:name w:val="heading 4"/>
    <w:basedOn w:val="Normal"/>
    <w:next w:val="Normal"/>
    <w:link w:val="Heading4Char"/>
    <w:uiPriority w:val="9"/>
    <w:semiHidden/>
    <w:unhideWhenUsed/>
    <w:qFormat/>
    <w:rsid w:val="00630D73"/>
    <w:pPr>
      <w:keepNext/>
      <w:keepLines/>
      <w:spacing w:before="80" w:after="40" w:line="278" w:lineRule="auto"/>
      <w:outlineLvl w:val="3"/>
    </w:pPr>
    <w:rPr>
      <w:rFonts w:eastAsiaTheme="majorEastAsia" w:cstheme="majorBidi"/>
      <w:i/>
      <w:iCs/>
      <w:color w:val="0F4761" w:themeColor="accent1" w:themeShade="BF"/>
      <w:sz w:val="24"/>
      <w:szCs w:val="24"/>
      <w:lang w:eastAsia="zh-CN"/>
    </w:rPr>
  </w:style>
  <w:style w:type="paragraph" w:styleId="Heading5">
    <w:name w:val="heading 5"/>
    <w:basedOn w:val="Normal"/>
    <w:next w:val="Normal"/>
    <w:link w:val="Heading5Char"/>
    <w:uiPriority w:val="9"/>
    <w:semiHidden/>
    <w:unhideWhenUsed/>
    <w:qFormat/>
    <w:rsid w:val="00630D73"/>
    <w:pPr>
      <w:keepNext/>
      <w:keepLines/>
      <w:spacing w:before="80" w:after="40" w:line="278" w:lineRule="auto"/>
      <w:outlineLvl w:val="4"/>
    </w:pPr>
    <w:rPr>
      <w:rFonts w:eastAsiaTheme="majorEastAsia" w:cstheme="majorBidi"/>
      <w:color w:val="0F4761" w:themeColor="accent1" w:themeShade="BF"/>
      <w:sz w:val="24"/>
      <w:szCs w:val="24"/>
      <w:lang w:eastAsia="zh-CN"/>
    </w:rPr>
  </w:style>
  <w:style w:type="paragraph" w:styleId="Heading6">
    <w:name w:val="heading 6"/>
    <w:basedOn w:val="Normal"/>
    <w:next w:val="Normal"/>
    <w:link w:val="Heading6Char"/>
    <w:uiPriority w:val="9"/>
    <w:semiHidden/>
    <w:unhideWhenUsed/>
    <w:qFormat/>
    <w:rsid w:val="00630D73"/>
    <w:pPr>
      <w:keepNext/>
      <w:keepLines/>
      <w:spacing w:before="40" w:after="0" w:line="278" w:lineRule="auto"/>
      <w:outlineLvl w:val="5"/>
    </w:pPr>
    <w:rPr>
      <w:rFonts w:eastAsiaTheme="majorEastAsia" w:cstheme="majorBidi"/>
      <w:i/>
      <w:iCs/>
      <w:color w:val="595959" w:themeColor="text1" w:themeTint="A6"/>
      <w:sz w:val="24"/>
      <w:szCs w:val="24"/>
      <w:lang w:eastAsia="zh-CN"/>
    </w:rPr>
  </w:style>
  <w:style w:type="paragraph" w:styleId="Heading7">
    <w:name w:val="heading 7"/>
    <w:basedOn w:val="Normal"/>
    <w:next w:val="Normal"/>
    <w:link w:val="Heading7Char"/>
    <w:uiPriority w:val="9"/>
    <w:semiHidden/>
    <w:unhideWhenUsed/>
    <w:qFormat/>
    <w:rsid w:val="00630D73"/>
    <w:pPr>
      <w:keepNext/>
      <w:keepLines/>
      <w:spacing w:before="40" w:after="0" w:line="278" w:lineRule="auto"/>
      <w:outlineLvl w:val="6"/>
    </w:pPr>
    <w:rPr>
      <w:rFonts w:eastAsiaTheme="majorEastAsia" w:cstheme="majorBidi"/>
      <w:color w:val="595959" w:themeColor="text1" w:themeTint="A6"/>
      <w:sz w:val="24"/>
      <w:szCs w:val="24"/>
      <w:lang w:eastAsia="zh-CN"/>
    </w:rPr>
  </w:style>
  <w:style w:type="paragraph" w:styleId="Heading8">
    <w:name w:val="heading 8"/>
    <w:basedOn w:val="Normal"/>
    <w:next w:val="Normal"/>
    <w:link w:val="Heading8Char"/>
    <w:uiPriority w:val="9"/>
    <w:semiHidden/>
    <w:unhideWhenUsed/>
    <w:qFormat/>
    <w:rsid w:val="00630D73"/>
    <w:pPr>
      <w:keepNext/>
      <w:keepLines/>
      <w:spacing w:after="0" w:line="278" w:lineRule="auto"/>
      <w:outlineLvl w:val="7"/>
    </w:pPr>
    <w:rPr>
      <w:rFonts w:eastAsiaTheme="majorEastAsia" w:cstheme="majorBidi"/>
      <w:i/>
      <w:iCs/>
      <w:color w:val="272727" w:themeColor="text1" w:themeTint="D8"/>
      <w:sz w:val="24"/>
      <w:szCs w:val="24"/>
      <w:lang w:eastAsia="zh-CN"/>
    </w:rPr>
  </w:style>
  <w:style w:type="paragraph" w:styleId="Heading9">
    <w:name w:val="heading 9"/>
    <w:basedOn w:val="Normal"/>
    <w:next w:val="Normal"/>
    <w:link w:val="Heading9Char"/>
    <w:uiPriority w:val="9"/>
    <w:semiHidden/>
    <w:unhideWhenUsed/>
    <w:qFormat/>
    <w:rsid w:val="00630D73"/>
    <w:pPr>
      <w:keepNext/>
      <w:keepLines/>
      <w:spacing w:after="0" w:line="278" w:lineRule="auto"/>
      <w:outlineLvl w:val="8"/>
    </w:pPr>
    <w:rPr>
      <w:rFonts w:eastAsiaTheme="majorEastAsia" w:cstheme="majorBidi"/>
      <w:color w:val="272727" w:themeColor="text1" w:themeTint="D8"/>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D73"/>
    <w:rPr>
      <w:rFonts w:eastAsiaTheme="majorEastAsia" w:cstheme="majorBidi"/>
      <w:color w:val="272727" w:themeColor="text1" w:themeTint="D8"/>
    </w:rPr>
  </w:style>
  <w:style w:type="paragraph" w:styleId="Title">
    <w:name w:val="Title"/>
    <w:basedOn w:val="Normal"/>
    <w:next w:val="Normal"/>
    <w:link w:val="TitleChar"/>
    <w:uiPriority w:val="10"/>
    <w:qFormat/>
    <w:rsid w:val="00630D73"/>
    <w:pPr>
      <w:spacing w:after="8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630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D73"/>
    <w:pPr>
      <w:numPr>
        <w:ilvl w:val="1"/>
      </w:numPr>
      <w:spacing w:line="278" w:lineRule="auto"/>
    </w:pPr>
    <w:rPr>
      <w:rFonts w:eastAsiaTheme="majorEastAsia" w:cstheme="majorBidi"/>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630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D73"/>
    <w:pPr>
      <w:spacing w:before="160" w:line="278" w:lineRule="auto"/>
      <w:jc w:val="center"/>
    </w:pPr>
    <w:rPr>
      <w:rFonts w:eastAsiaTheme="minorEastAsia"/>
      <w:i/>
      <w:iCs/>
      <w:color w:val="404040" w:themeColor="text1" w:themeTint="BF"/>
      <w:sz w:val="24"/>
      <w:szCs w:val="24"/>
      <w:lang w:eastAsia="zh-CN"/>
    </w:rPr>
  </w:style>
  <w:style w:type="character" w:customStyle="1" w:styleId="QuoteChar">
    <w:name w:val="Quote Char"/>
    <w:basedOn w:val="DefaultParagraphFont"/>
    <w:link w:val="Quote"/>
    <w:uiPriority w:val="29"/>
    <w:rsid w:val="00630D73"/>
    <w:rPr>
      <w:i/>
      <w:iCs/>
      <w:color w:val="404040" w:themeColor="text1" w:themeTint="BF"/>
    </w:rPr>
  </w:style>
  <w:style w:type="paragraph" w:styleId="ListParagraph">
    <w:name w:val="List Paragraph"/>
    <w:basedOn w:val="Normal"/>
    <w:uiPriority w:val="34"/>
    <w:qFormat/>
    <w:rsid w:val="00630D73"/>
    <w:pPr>
      <w:spacing w:line="278" w:lineRule="auto"/>
      <w:ind w:left="720"/>
      <w:contextualSpacing/>
    </w:pPr>
    <w:rPr>
      <w:rFonts w:eastAsiaTheme="minorEastAsia"/>
      <w:sz w:val="24"/>
      <w:szCs w:val="24"/>
      <w:lang w:eastAsia="zh-CN"/>
    </w:rPr>
  </w:style>
  <w:style w:type="character" w:styleId="IntenseEmphasis">
    <w:name w:val="Intense Emphasis"/>
    <w:basedOn w:val="DefaultParagraphFont"/>
    <w:uiPriority w:val="21"/>
    <w:qFormat/>
    <w:rsid w:val="00630D73"/>
    <w:rPr>
      <w:i/>
      <w:iCs/>
      <w:color w:val="0F4761" w:themeColor="accent1" w:themeShade="BF"/>
    </w:rPr>
  </w:style>
  <w:style w:type="paragraph" w:styleId="IntenseQuote">
    <w:name w:val="Intense Quote"/>
    <w:basedOn w:val="Normal"/>
    <w:next w:val="Normal"/>
    <w:link w:val="IntenseQuoteChar"/>
    <w:uiPriority w:val="30"/>
    <w:qFormat/>
    <w:rsid w:val="00630D7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EastAsia"/>
      <w:i/>
      <w:iCs/>
      <w:color w:val="0F4761" w:themeColor="accent1" w:themeShade="BF"/>
      <w:sz w:val="24"/>
      <w:szCs w:val="24"/>
      <w:lang w:eastAsia="zh-CN"/>
    </w:rPr>
  </w:style>
  <w:style w:type="character" w:customStyle="1" w:styleId="IntenseQuoteChar">
    <w:name w:val="Intense Quote Char"/>
    <w:basedOn w:val="DefaultParagraphFont"/>
    <w:link w:val="IntenseQuote"/>
    <w:uiPriority w:val="30"/>
    <w:rsid w:val="00630D73"/>
    <w:rPr>
      <w:i/>
      <w:iCs/>
      <w:color w:val="0F4761" w:themeColor="accent1" w:themeShade="BF"/>
    </w:rPr>
  </w:style>
  <w:style w:type="character" w:styleId="IntenseReference">
    <w:name w:val="Intense Reference"/>
    <w:basedOn w:val="DefaultParagraphFont"/>
    <w:uiPriority w:val="32"/>
    <w:qFormat/>
    <w:rsid w:val="00630D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KAMALIAH BINTI MD YUSOP@MD YUSOF</dc:creator>
  <cp:keywords/>
  <dc:description/>
  <cp:lastModifiedBy>KAMALIAH BINTI MD YUSOP@MD YUSOF</cp:lastModifiedBy>
  <cp:revision>1</cp:revision>
  <dcterms:created xsi:type="dcterms:W3CDTF">2025-08-01T14:33:00Z</dcterms:created>
  <dcterms:modified xsi:type="dcterms:W3CDTF">2025-08-01T14:35:00Z</dcterms:modified>
</cp:coreProperties>
</file>